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pageBreakBefore w:val="0"/>
        <w:widowControl w:val="0"/>
        <w:kinsoku/>
        <w:wordWrap/>
        <w:overflowPunct/>
        <w:topLinePunct w:val="0"/>
        <w:autoSpaceDE/>
        <w:autoSpaceDN/>
        <w:bidi w:val="0"/>
        <w:adjustRightInd/>
        <w:snapToGrid/>
        <w:spacing w:before="156" w:beforeLines="50" w:after="156" w:afterLines="50" w:line="540" w:lineRule="exact"/>
        <w:jc w:val="center"/>
        <w:textAlignment w:val="auto"/>
        <w:rPr>
          <w:rFonts w:hint="eastAsia" w:ascii="宋体" w:hAnsi="宋体" w:eastAsia="宋体" w:cs="宋体"/>
          <w:b/>
          <w:bCs/>
          <w:color w:val="000000"/>
          <w:sz w:val="36"/>
          <w:szCs w:val="44"/>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bCs/>
          <w:color w:val="000000"/>
          <w:sz w:val="36"/>
          <w:szCs w:val="44"/>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color w:val="000000"/>
          <w:sz w:val="36"/>
          <w:szCs w:val="44"/>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color w:val="000000"/>
          <w:sz w:val="36"/>
          <w:szCs w:val="36"/>
          <w:highlight w:val="none"/>
          <w:u w:val="none" w:color="auto"/>
          <w:lang w:val="en-US" w:eastAsia="zh-CN"/>
        </w:rPr>
      </w:pPr>
      <w:r>
        <w:rPr>
          <w:rFonts w:hint="eastAsia" w:ascii="宋体" w:hAnsi="宋体" w:eastAsia="宋体" w:cs="宋体"/>
          <w:b/>
          <w:bCs/>
          <w:color w:val="000000"/>
          <w:sz w:val="36"/>
          <w:szCs w:val="36"/>
          <w:highlight w:val="none"/>
          <w:u w:val="none" w:color="auto"/>
          <w:lang w:val="en-US" w:eastAsia="zh-CN"/>
        </w:rPr>
        <w:t>《夏县中心城区控制</w:t>
      </w:r>
      <w:r>
        <w:rPr>
          <w:rFonts w:hint="eastAsia" w:cs="宋体"/>
          <w:b/>
          <w:bCs/>
          <w:color w:val="000000"/>
          <w:sz w:val="36"/>
          <w:szCs w:val="36"/>
          <w:highlight w:val="none"/>
          <w:u w:val="none" w:color="auto"/>
          <w:lang w:val="en-US" w:eastAsia="zh-CN"/>
        </w:rPr>
        <w:t>性</w:t>
      </w:r>
      <w:r>
        <w:rPr>
          <w:rFonts w:hint="eastAsia" w:ascii="宋体" w:hAnsi="宋体" w:eastAsia="宋体" w:cs="宋体"/>
          <w:b/>
          <w:bCs/>
          <w:color w:val="000000"/>
          <w:sz w:val="36"/>
          <w:szCs w:val="36"/>
          <w:highlight w:val="none"/>
          <w:u w:val="none" w:color="auto"/>
          <w:lang w:val="en-US" w:eastAsia="zh-CN"/>
        </w:rPr>
        <w:t>详细规划》A-08-02地块</w:t>
      </w: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highlight w:val="none"/>
          <w:u w:val="none" w:color="auto"/>
        </w:rPr>
      </w:pPr>
      <w:r>
        <w:rPr>
          <w:rFonts w:hint="eastAsia" w:ascii="宋体" w:hAnsi="宋体" w:eastAsia="宋体" w:cs="宋体"/>
          <w:b/>
          <w:bCs/>
          <w:color w:val="000000"/>
          <w:sz w:val="36"/>
          <w:szCs w:val="36"/>
          <w:highlight w:val="none"/>
          <w:u w:val="none" w:color="auto"/>
          <w:lang w:val="en-US" w:eastAsia="zh-CN"/>
        </w:rPr>
        <w:t>修改论证报告</w:t>
      </w: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Style w:val="7"/>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Style w:val="7"/>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lang w:val="en-US" w:eastAsia="zh-CN"/>
        </w:rPr>
      </w:pPr>
    </w:p>
    <w:p>
      <w:pPr>
        <w:pStyle w:val="7"/>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lang w:val="en-US"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highlight w:val="none"/>
          <w:u w:val="none" w:color="auto"/>
          <w:lang w:eastAsia="zh-CN"/>
        </w:rPr>
      </w:pPr>
      <w:r>
        <w:rPr>
          <w:rFonts w:hint="eastAsia" w:ascii="宋体" w:hAnsi="宋体" w:eastAsia="宋体" w:cs="宋体"/>
          <w:highlight w:val="none"/>
          <w:u w:val="none" w:color="auto"/>
          <w:lang w:eastAsia="zh-CN"/>
        </w:rPr>
        <w:t>汇智宏图建筑规划设计集团有限公司</w:t>
      </w:r>
    </w:p>
    <w:p>
      <w:pPr>
        <w:pageBreakBefore w:val="0"/>
        <w:widowControl w:val="0"/>
        <w:kinsoku/>
        <w:wordWrap/>
        <w:overflowPunct/>
        <w:topLinePunct w:val="0"/>
        <w:autoSpaceDE/>
        <w:autoSpaceDN/>
        <w:bidi w:val="0"/>
        <w:adjustRightInd/>
        <w:snapToGrid/>
        <w:spacing w:line="540" w:lineRule="exact"/>
        <w:ind w:firstLine="3840" w:firstLineChars="1600"/>
        <w:jc w:val="both"/>
        <w:textAlignment w:val="auto"/>
        <w:rPr>
          <w:rFonts w:hint="default" w:ascii="宋体" w:hAnsi="宋体" w:eastAsia="宋体" w:cs="宋体"/>
          <w:b/>
          <w:sz w:val="22"/>
          <w:highlight w:val="none"/>
          <w:u w:val="none" w:color="auto"/>
          <w:lang w:val="en-US" w:eastAsia="zh-CN"/>
        </w:rPr>
        <w:sectPr>
          <w:footerReference r:id="rId3" w:type="first"/>
          <w:pgSz w:w="11906" w:h="16838"/>
          <w:pgMar w:top="1440" w:right="1701" w:bottom="1440" w:left="1701" w:header="851" w:footer="992" w:gutter="0"/>
          <w:pgNumType w:fmt="decimal" w:start="0"/>
          <w:cols w:space="425" w:num="1"/>
          <w:titlePg/>
          <w:docGrid w:type="lines" w:linePitch="326" w:charSpace="0"/>
        </w:sectPr>
      </w:pPr>
      <w:r>
        <w:rPr>
          <w:rFonts w:hint="eastAsia" w:ascii="宋体" w:hAnsi="宋体" w:eastAsia="宋体" w:cs="宋体"/>
          <w:highlight w:val="none"/>
          <w:u w:val="none" w:color="auto"/>
          <w:lang w:val="en-US" w:eastAsia="zh-CN"/>
        </w:rPr>
        <w:t>202</w:t>
      </w:r>
      <w:r>
        <w:rPr>
          <w:rFonts w:hint="eastAsia" w:cs="宋体"/>
          <w:highlight w:val="none"/>
          <w:u w:val="none" w:color="auto"/>
          <w:lang w:val="en-US" w:eastAsia="zh-CN"/>
        </w:rPr>
        <w:t>4</w:t>
      </w:r>
      <w:r>
        <w:rPr>
          <w:rFonts w:hint="eastAsia" w:ascii="宋体" w:hAnsi="宋体" w:eastAsia="宋体" w:cs="宋体"/>
          <w:highlight w:val="none"/>
          <w:u w:val="none" w:color="auto"/>
          <w:lang w:val="en-US" w:eastAsia="zh-CN"/>
        </w:rPr>
        <w:t>.</w:t>
      </w:r>
      <w:r>
        <w:rPr>
          <w:rFonts w:hint="eastAsia" w:cs="宋体"/>
          <w:highlight w:val="none"/>
          <w:u w:val="none" w:color="auto"/>
          <w:lang w:val="en-US" w:eastAsia="zh-CN"/>
        </w:rPr>
        <w:t>4</w:t>
      </w:r>
    </w:p>
    <w:p>
      <w:pPr>
        <w:pageBreakBefore w:val="0"/>
        <w:widowControl w:val="0"/>
        <w:kinsoku/>
        <w:wordWrap/>
        <w:overflowPunct/>
        <w:topLinePunct w:val="0"/>
        <w:autoSpaceDE/>
        <w:autoSpaceDN/>
        <w:bidi w:val="0"/>
        <w:adjustRightInd/>
        <w:snapToGrid/>
        <w:spacing w:line="540" w:lineRule="exact"/>
        <w:textAlignment w:val="auto"/>
        <w:rPr>
          <w:rFonts w:hint="default" w:ascii="宋体" w:hAnsi="宋体" w:eastAsia="宋体" w:cs="宋体"/>
          <w:b/>
          <w:sz w:val="30"/>
          <w:szCs w:val="30"/>
          <w:lang w:val="en-US" w:eastAsia="zh-CN"/>
        </w:rPr>
      </w:pPr>
      <w:r>
        <w:rPr>
          <w:rFonts w:hint="eastAsia" w:ascii="宋体" w:hAnsi="宋体" w:eastAsia="宋体" w:cs="宋体"/>
          <w:b/>
          <w:sz w:val="30"/>
          <w:szCs w:val="30"/>
        </w:rPr>
        <w:t>项目编号：HZ</w:t>
      </w:r>
      <w:r>
        <w:rPr>
          <w:rFonts w:hint="eastAsia" w:cs="宋体"/>
          <w:b/>
          <w:sz w:val="30"/>
          <w:szCs w:val="30"/>
          <w:lang w:val="en-US" w:eastAsia="zh-CN"/>
        </w:rPr>
        <w:t>20240201</w:t>
      </w: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color w:val="000000"/>
          <w:sz w:val="40"/>
          <w:szCs w:val="40"/>
          <w:highlight w:val="non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color w:val="000000"/>
          <w:sz w:val="36"/>
          <w:szCs w:val="36"/>
          <w:highlight w:val="none"/>
          <w:u w:val="none" w:color="auto"/>
          <w:lang w:val="en-US" w:eastAsia="zh-CN"/>
        </w:rPr>
      </w:pPr>
      <w:r>
        <w:rPr>
          <w:rFonts w:hint="eastAsia" w:ascii="宋体" w:hAnsi="宋体" w:eastAsia="宋体" w:cs="宋体"/>
          <w:b/>
          <w:bCs/>
          <w:color w:val="000000"/>
          <w:sz w:val="36"/>
          <w:szCs w:val="36"/>
          <w:highlight w:val="none"/>
          <w:u w:val="none" w:color="auto"/>
          <w:lang w:val="en-US" w:eastAsia="zh-CN"/>
        </w:rPr>
        <w:t>《夏县中心城区</w:t>
      </w:r>
      <w:r>
        <w:rPr>
          <w:rFonts w:hint="eastAsia" w:cs="宋体"/>
          <w:b/>
          <w:bCs/>
          <w:color w:val="000000"/>
          <w:sz w:val="36"/>
          <w:szCs w:val="36"/>
          <w:highlight w:val="none"/>
          <w:u w:val="none" w:color="auto"/>
          <w:lang w:val="en-US" w:eastAsia="zh-CN"/>
        </w:rPr>
        <w:t>控制性</w:t>
      </w:r>
      <w:r>
        <w:rPr>
          <w:rFonts w:hint="eastAsia" w:ascii="宋体" w:hAnsi="宋体" w:eastAsia="宋体" w:cs="宋体"/>
          <w:b/>
          <w:bCs/>
          <w:color w:val="000000"/>
          <w:sz w:val="36"/>
          <w:szCs w:val="36"/>
          <w:highlight w:val="none"/>
          <w:u w:val="none" w:color="auto"/>
          <w:lang w:val="en-US" w:eastAsia="zh-CN"/>
        </w:rPr>
        <w:t>详细规划》A-08-02地块</w:t>
      </w: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sz w:val="40"/>
          <w:szCs w:val="40"/>
          <w:highlight w:val="none"/>
          <w:lang w:val="en-US" w:eastAsia="zh-CN"/>
        </w:rPr>
      </w:pPr>
      <w:r>
        <w:rPr>
          <w:rFonts w:hint="eastAsia" w:ascii="宋体" w:hAnsi="宋体" w:eastAsia="宋体" w:cs="宋体"/>
          <w:b/>
          <w:bCs/>
          <w:color w:val="000000"/>
          <w:sz w:val="36"/>
          <w:szCs w:val="36"/>
          <w:highlight w:val="none"/>
          <w:u w:val="none" w:color="auto"/>
          <w:lang w:val="en-US" w:eastAsia="zh-CN"/>
        </w:rPr>
        <w:t>修改论证报告</w:t>
      </w:r>
    </w:p>
    <w:p>
      <w:pPr>
        <w:pageBreakBefore w:val="0"/>
        <w:widowControl w:val="0"/>
        <w:kinsoku/>
        <w:wordWrap/>
        <w:overflowPunct/>
        <w:topLinePunct w:val="0"/>
        <w:autoSpaceDE/>
        <w:autoSpaceDN/>
        <w:bidi w:val="0"/>
        <w:adjustRightInd/>
        <w:snapToGrid/>
        <w:spacing w:line="540" w:lineRule="exact"/>
        <w:ind w:firstLine="883"/>
        <w:jc w:val="center"/>
        <w:textAlignment w:val="auto"/>
        <w:rPr>
          <w:rFonts w:hint="eastAsia" w:ascii="宋体" w:hAnsi="宋体" w:eastAsia="宋体" w:cs="宋体"/>
          <w:b/>
          <w:sz w:val="44"/>
          <w:szCs w:val="44"/>
          <w:highlight w:val="none"/>
        </w:rPr>
      </w:pPr>
      <w:r>
        <w:rPr>
          <w:rFonts w:hint="eastAsia" w:ascii="宋体" w:hAnsi="宋体" w:eastAsia="宋体" w:cs="宋体"/>
          <w:b/>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-70485</wp:posOffset>
                </wp:positionH>
                <wp:positionV relativeFrom="paragraph">
                  <wp:posOffset>241935</wp:posOffset>
                </wp:positionV>
                <wp:extent cx="5542280" cy="19685"/>
                <wp:effectExtent l="0" t="28575" r="1270" b="46990"/>
                <wp:wrapNone/>
                <wp:docPr id="16" name="直接连接符 16"/>
                <wp:cNvGraphicFramePr/>
                <a:graphic xmlns:a="http://schemas.openxmlformats.org/drawingml/2006/main">
                  <a:graphicData uri="http://schemas.microsoft.com/office/word/2010/wordprocessingShape">
                    <wps:wsp>
                      <wps:cNvCnPr/>
                      <wps:spPr>
                        <a:xfrm>
                          <a:off x="0" y="0"/>
                          <a:ext cx="5542280" cy="19685"/>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55pt;margin-top:19.05pt;height:1.55pt;width:436.4pt;z-index:251661312;mso-width-relative:page;mso-height-relative:page;" filled="f" stroked="t" coordsize="21600,21600" o:gfxdata="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NrKgvaAAAACQEAAA8AAAAAAAAAAQAgAAAAIgAAAGRycy9kb3ducmV2LnhtbFBL&#10;AQIUABQAAAAIAIdO4kCoxpdt9AEAAOUDAAAOAAAAAAAAAAEAIAAAACkBAABkcnMvZTJvRG9jLnht&#10;bFBLBQYAAAAABgAGAFkBAACPBQAAAAA=&#10;">
                <v:fill on="f" focussize="0,0"/>
                <v:stroke weight="4.5pt" color="#000000" linestyle="thinThick"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before="156" w:beforeLines="50" w:after="156" w:afterLines="50" w:line="540" w:lineRule="exact"/>
        <w:ind w:firstLine="600"/>
        <w:jc w:val="both"/>
        <w:textAlignment w:val="auto"/>
        <w:rPr>
          <w:rFonts w:hint="eastAsia" w:ascii="宋体" w:hAnsi="宋体" w:eastAsia="宋体" w:cs="宋体"/>
          <w:b w:val="0"/>
          <w:bCs/>
          <w:sz w:val="30"/>
          <w:szCs w:val="30"/>
          <w:highlight w:val="none"/>
          <w:lang w:eastAsia="zh-CN"/>
        </w:rPr>
      </w:pPr>
    </w:p>
    <w:tbl>
      <w:tblPr>
        <w:tblStyle w:val="18"/>
        <w:tblW w:w="80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8"/>
        <w:gridCol w:w="5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8"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eastAsia" w:ascii="宋体" w:hAnsi="宋体" w:eastAsia="宋体" w:cs="宋体"/>
                <w:b/>
                <w:sz w:val="32"/>
                <w:szCs w:val="32"/>
                <w:highlight w:val="none"/>
                <w:vertAlign w:val="baseline"/>
              </w:rPr>
            </w:pPr>
            <w:r>
              <w:rPr>
                <w:rFonts w:hint="eastAsia" w:ascii="宋体" w:hAnsi="宋体" w:eastAsia="宋体" w:cs="宋体"/>
                <w:b/>
                <w:sz w:val="32"/>
                <w:szCs w:val="32"/>
                <w:highlight w:val="none"/>
              </w:rPr>
              <w:t>设 计 单 位：</w:t>
            </w:r>
          </w:p>
        </w:tc>
        <w:tc>
          <w:tcPr>
            <w:tcW w:w="5518" w:type="dxa"/>
          </w:tcPr>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宋体" w:hAnsi="宋体" w:eastAsia="宋体" w:cs="宋体"/>
                <w:b/>
                <w:sz w:val="32"/>
                <w:szCs w:val="32"/>
                <w:highlight w:val="none"/>
                <w:vertAlign w:val="baseline"/>
              </w:rPr>
            </w:pPr>
            <w:r>
              <w:rPr>
                <w:rFonts w:hint="eastAsia" w:ascii="宋体" w:hAnsi="宋体" w:eastAsia="宋体" w:cs="宋体"/>
                <w:b/>
                <w:bCs/>
                <w:sz w:val="32"/>
                <w:szCs w:val="32"/>
                <w:highlight w:val="none"/>
                <w:lang w:eastAsia="zh-CN"/>
              </w:rPr>
              <w:t>汇智宏图建筑规划设计集团有限公司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8"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eastAsia" w:ascii="宋体" w:hAnsi="宋体" w:eastAsia="宋体" w:cs="宋体"/>
                <w:b/>
                <w:sz w:val="32"/>
                <w:szCs w:val="32"/>
                <w:highlight w:val="none"/>
                <w:vertAlign w:val="baseline"/>
              </w:rPr>
            </w:pPr>
            <w:r>
              <w:rPr>
                <w:rFonts w:hint="eastAsia" w:ascii="宋体" w:hAnsi="宋体" w:eastAsia="宋体" w:cs="宋体"/>
                <w:b/>
                <w:sz w:val="32"/>
                <w:szCs w:val="32"/>
                <w:highlight w:val="none"/>
              </w:rPr>
              <w:t>法       人：</w:t>
            </w:r>
          </w:p>
        </w:tc>
        <w:tc>
          <w:tcPr>
            <w:tcW w:w="5518" w:type="dxa"/>
          </w:tcPr>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宋体" w:hAnsi="宋体" w:eastAsia="宋体" w:cs="宋体"/>
                <w:b/>
                <w:sz w:val="32"/>
                <w:szCs w:val="32"/>
                <w:highlight w:val="none"/>
                <w:vertAlign w:val="baseline"/>
              </w:rPr>
            </w:pPr>
            <w:r>
              <w:rPr>
                <w:rFonts w:hint="eastAsia" w:ascii="宋体" w:hAnsi="宋体" w:eastAsia="宋体" w:cs="宋体"/>
                <w:b/>
                <w:sz w:val="32"/>
                <w:szCs w:val="32"/>
                <w:highlight w:val="none"/>
                <w:lang w:val="en-US" w:eastAsia="zh-CN"/>
              </w:rPr>
              <w:t>徐秀兰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2558"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eastAsia" w:ascii="宋体" w:hAnsi="宋体" w:eastAsia="宋体" w:cs="宋体"/>
                <w:b/>
                <w:sz w:val="32"/>
                <w:szCs w:val="32"/>
                <w:highlight w:val="none"/>
                <w:vertAlign w:val="baseline"/>
              </w:rPr>
            </w:pPr>
            <w:r>
              <w:rPr>
                <w:rFonts w:hint="eastAsia" w:ascii="宋体" w:hAnsi="宋体" w:eastAsia="宋体" w:cs="宋体"/>
                <w:b/>
                <w:sz w:val="32"/>
                <w:szCs w:val="32"/>
                <w:highlight w:val="none"/>
              </w:rPr>
              <w:t>项目负责人：</w:t>
            </w:r>
          </w:p>
        </w:tc>
        <w:tc>
          <w:tcPr>
            <w:tcW w:w="5518" w:type="dxa"/>
          </w:tcPr>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宋体" w:hAnsi="宋体" w:eastAsia="宋体" w:cs="宋体"/>
                <w:b/>
                <w:sz w:val="32"/>
                <w:szCs w:val="32"/>
                <w:highlight w:val="none"/>
                <w:vertAlign w:val="baseline"/>
              </w:rPr>
            </w:pPr>
            <w:r>
              <w:rPr>
                <w:rFonts w:hint="eastAsia" w:ascii="宋体" w:hAnsi="宋体" w:eastAsia="宋体" w:cs="宋体"/>
                <w:b/>
                <w:sz w:val="32"/>
                <w:szCs w:val="32"/>
                <w:highlight w:val="none"/>
                <w:lang w:val="en-US" w:eastAsia="zh-CN"/>
              </w:rPr>
              <w:t>高登级</w:t>
            </w:r>
            <w:r>
              <w:rPr>
                <w:rFonts w:hint="eastAsia" w:ascii="宋体" w:hAnsi="宋体" w:eastAsia="宋体" w:cs="宋体"/>
                <w:b/>
                <w:sz w:val="32"/>
                <w:szCs w:val="32"/>
                <w:highlight w:val="none"/>
                <w:lang w:eastAsia="zh-CN"/>
              </w:rPr>
              <w:t>（注册城乡规划师）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8"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eastAsia" w:ascii="宋体" w:hAnsi="宋体" w:eastAsia="宋体" w:cs="宋体"/>
                <w:b/>
                <w:sz w:val="32"/>
                <w:szCs w:val="32"/>
                <w:highlight w:val="none"/>
                <w:vertAlign w:val="baseline"/>
              </w:rPr>
            </w:pPr>
            <w:r>
              <w:rPr>
                <w:rFonts w:hint="eastAsia" w:ascii="宋体" w:hAnsi="宋体" w:eastAsia="宋体" w:cs="宋体"/>
                <w:b/>
                <w:sz w:val="32"/>
                <w:szCs w:val="32"/>
                <w:highlight w:val="none"/>
                <w:lang w:eastAsia="zh-CN"/>
              </w:rPr>
              <w:t>参与人员：</w:t>
            </w:r>
          </w:p>
        </w:tc>
        <w:tc>
          <w:tcPr>
            <w:tcW w:w="5518" w:type="dxa"/>
          </w:tcPr>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宋体" w:hAnsi="宋体" w:eastAsia="宋体" w:cs="宋体"/>
                <w:b/>
                <w:sz w:val="32"/>
                <w:szCs w:val="32"/>
                <w:highlight w:val="none"/>
                <w:vertAlign w:val="baseline"/>
              </w:rPr>
            </w:pPr>
            <w:r>
              <w:rPr>
                <w:rFonts w:hint="eastAsia" w:ascii="宋体" w:hAnsi="宋体" w:eastAsia="宋体" w:cs="宋体"/>
                <w:b/>
                <w:sz w:val="32"/>
                <w:szCs w:val="32"/>
                <w:highlight w:val="none"/>
                <w:lang w:val="en-US" w:eastAsia="zh-CN"/>
              </w:rPr>
              <w:t>张晓旗</w:t>
            </w:r>
            <w:r>
              <w:rPr>
                <w:rFonts w:hint="eastAsia" w:ascii="宋体" w:hAnsi="宋体" w:eastAsia="宋体" w:cs="宋体"/>
                <w:b/>
                <w:sz w:val="32"/>
                <w:szCs w:val="32"/>
                <w:highlight w:val="none"/>
                <w:lang w:eastAsia="zh-CN"/>
              </w:rPr>
              <w:t>（中级工程师）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8"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sz w:val="32"/>
                <w:szCs w:val="32"/>
                <w:highlight w:val="none"/>
                <w:vertAlign w:val="baseline"/>
              </w:rPr>
            </w:pPr>
          </w:p>
        </w:tc>
        <w:tc>
          <w:tcPr>
            <w:tcW w:w="5518" w:type="dxa"/>
          </w:tcPr>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宋体" w:hAnsi="宋体" w:eastAsia="宋体" w:cs="宋体"/>
                <w:b/>
                <w:sz w:val="32"/>
                <w:szCs w:val="32"/>
                <w:highlight w:val="none"/>
                <w:vertAlign w:val="baseline"/>
              </w:rPr>
            </w:pPr>
            <w:r>
              <w:rPr>
                <w:rFonts w:hint="eastAsia" w:ascii="宋体" w:hAnsi="宋体" w:eastAsia="宋体" w:cs="宋体"/>
                <w:b/>
                <w:sz w:val="32"/>
                <w:szCs w:val="32"/>
                <w:highlight w:val="none"/>
                <w:lang w:val="en-US" w:eastAsia="zh-CN"/>
              </w:rPr>
              <w:t>张艳庆（</w:t>
            </w:r>
            <w:r>
              <w:rPr>
                <w:rFonts w:hint="eastAsia" w:ascii="宋体" w:hAnsi="宋体" w:eastAsia="宋体" w:cs="宋体"/>
                <w:b/>
                <w:sz w:val="32"/>
                <w:szCs w:val="32"/>
                <w:highlight w:val="none"/>
                <w:lang w:eastAsia="zh-CN"/>
              </w:rPr>
              <w:t>中级</w:t>
            </w:r>
            <w:r>
              <w:rPr>
                <w:rFonts w:hint="eastAsia" w:ascii="宋体" w:hAnsi="宋体" w:eastAsia="宋体" w:cs="宋体"/>
                <w:b/>
                <w:sz w:val="32"/>
                <w:szCs w:val="32"/>
                <w:highlight w:val="none"/>
                <w:lang w:val="en-US" w:eastAsia="zh-CN"/>
              </w:rPr>
              <w:t>工程师）</w:t>
            </w:r>
          </w:p>
        </w:tc>
      </w:tr>
    </w:tbl>
    <w:p>
      <w:pPr>
        <w:pStyle w:val="5"/>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lang w:eastAsia="zh-CN"/>
        </w:rPr>
      </w:pPr>
      <w:r>
        <w:rPr>
          <w:rFonts w:hint="eastAsia" w:ascii="宋体" w:hAnsi="宋体" w:eastAsia="宋体" w:cs="宋体"/>
          <w:b w:val="0"/>
          <w:bCs/>
          <w:sz w:val="30"/>
          <w:szCs w:val="30"/>
          <w:highlight w:val="none"/>
          <w:lang w:val="en-US" w:eastAsia="zh-CN"/>
        </w:rPr>
        <w:drawing>
          <wp:anchor distT="0" distB="0" distL="114300" distR="114300" simplePos="0" relativeHeight="251662336" behindDoc="1" locked="0" layoutInCell="1" allowOverlap="1">
            <wp:simplePos x="0" y="0"/>
            <wp:positionH relativeFrom="column">
              <wp:posOffset>334645</wp:posOffset>
            </wp:positionH>
            <wp:positionV relativeFrom="paragraph">
              <wp:posOffset>239395</wp:posOffset>
            </wp:positionV>
            <wp:extent cx="1426210" cy="1458595"/>
            <wp:effectExtent l="0" t="0" r="2540" b="8255"/>
            <wp:wrapNone/>
            <wp:docPr id="19" name="图片 19" descr="改名后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改名后公章"/>
                    <pic:cNvPicPr>
                      <a:picLocks noChangeAspect="1"/>
                    </pic:cNvPicPr>
                  </pic:nvPicPr>
                  <pic:blipFill>
                    <a:blip r:embed="rId13"/>
                    <a:stretch>
                      <a:fillRect/>
                    </a:stretch>
                  </pic:blipFill>
                  <pic:spPr>
                    <a:xfrm>
                      <a:off x="0" y="0"/>
                      <a:ext cx="1426210" cy="1458595"/>
                    </a:xfrm>
                    <a:prstGeom prst="rect">
                      <a:avLst/>
                    </a:prstGeom>
                  </pic:spPr>
                </pic:pic>
              </a:graphicData>
            </a:graphic>
          </wp:anchor>
        </w:drawing>
      </w:r>
      <w:r>
        <w:rPr>
          <w:rFonts w:hint="eastAsia" w:ascii="宋体" w:hAnsi="宋体" w:eastAsia="宋体" w:cs="宋体"/>
          <w:b w:val="0"/>
          <w:bCs/>
          <w:sz w:val="30"/>
          <w:szCs w:val="30"/>
          <w:highlight w:val="none"/>
          <w:lang w:val="en-US" w:eastAsia="zh-CN"/>
        </w:rPr>
        <w:drawing>
          <wp:anchor distT="0" distB="0" distL="114300" distR="114300" simplePos="0" relativeHeight="251662336" behindDoc="1" locked="0" layoutInCell="1" allowOverlap="1">
            <wp:simplePos x="0" y="0"/>
            <wp:positionH relativeFrom="column">
              <wp:posOffset>3225800</wp:posOffset>
            </wp:positionH>
            <wp:positionV relativeFrom="paragraph">
              <wp:posOffset>252730</wp:posOffset>
            </wp:positionV>
            <wp:extent cx="1367155" cy="1372870"/>
            <wp:effectExtent l="0" t="0" r="4445" b="17780"/>
            <wp:wrapNone/>
            <wp:docPr id="18" name="图片 18" descr="改名后的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改名后的资质"/>
                    <pic:cNvPicPr>
                      <a:picLocks noChangeAspect="1"/>
                    </pic:cNvPicPr>
                  </pic:nvPicPr>
                  <pic:blipFill>
                    <a:blip r:embed="rId14"/>
                    <a:stretch>
                      <a:fillRect/>
                    </a:stretch>
                  </pic:blipFill>
                  <pic:spPr>
                    <a:xfrm>
                      <a:off x="0" y="0"/>
                      <a:ext cx="1367155" cy="1372870"/>
                    </a:xfrm>
                    <a:prstGeom prst="rect">
                      <a:avLst/>
                    </a:prstGeom>
                  </pic:spPr>
                </pic:pic>
              </a:graphicData>
            </a:graphic>
          </wp:anchor>
        </w:drawing>
      </w: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lang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540" w:lineRule="exact"/>
        <w:ind w:firstLine="600"/>
        <w:textAlignment w:val="auto"/>
        <w:rPr>
          <w:rFonts w:hint="eastAsia" w:ascii="宋体" w:hAnsi="宋体" w:eastAsia="宋体" w:cs="宋体"/>
          <w:b w:val="0"/>
          <w:bCs/>
          <w:sz w:val="30"/>
          <w:szCs w:val="30"/>
          <w:highlight w:val="none"/>
          <w:lang w:eastAsia="zh-CN"/>
        </w:rPr>
      </w:pPr>
      <w:r>
        <w:rPr>
          <w:rFonts w:hint="eastAsia" w:ascii="宋体" w:hAnsi="宋体" w:eastAsia="宋体" w:cs="宋体"/>
          <w:b w:val="0"/>
          <w:bCs/>
          <w:sz w:val="30"/>
          <w:szCs w:val="30"/>
          <w:highlight w:val="none"/>
          <w:lang w:eastAsia="zh-CN"/>
        </w:rPr>
        <w:t>（单位公章）</w:t>
      </w:r>
      <w:r>
        <w:rPr>
          <w:rFonts w:hint="eastAsia" w:ascii="宋体" w:hAnsi="宋体" w:eastAsia="宋体" w:cs="宋体"/>
          <w:b w:val="0"/>
          <w:bCs/>
          <w:sz w:val="30"/>
          <w:szCs w:val="30"/>
          <w:highlight w:val="none"/>
          <w:lang w:val="en-US" w:eastAsia="zh-CN"/>
        </w:rPr>
        <w:t xml:space="preserve">                    </w:t>
      </w:r>
      <w:r>
        <w:rPr>
          <w:rFonts w:hint="eastAsia" w:ascii="宋体" w:hAnsi="宋体" w:eastAsia="宋体" w:cs="宋体"/>
          <w:b w:val="0"/>
          <w:bCs/>
          <w:sz w:val="30"/>
          <w:szCs w:val="30"/>
          <w:highlight w:val="none"/>
          <w:lang w:eastAsia="zh-CN"/>
        </w:rPr>
        <w:t>（资质专用章）</w:t>
      </w:r>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b/>
          <w:bCs/>
          <w:snapToGrid w:val="0"/>
          <w:color w:val="000000"/>
          <w:kern w:val="0"/>
          <w:sz w:val="28"/>
          <w:szCs w:val="28"/>
          <w:lang w:eastAsia="zh-CN"/>
        </w:rPr>
      </w:pPr>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b/>
          <w:bCs/>
          <w:snapToGrid w:val="0"/>
          <w:color w:val="000000"/>
          <w:kern w:val="0"/>
          <w:sz w:val="28"/>
          <w:szCs w:val="28"/>
          <w:lang w:eastAsia="zh-CN"/>
        </w:rPr>
      </w:pPr>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b/>
          <w:bCs/>
          <w:snapToGrid w:val="0"/>
          <w:color w:val="000000"/>
          <w:kern w:val="0"/>
          <w:sz w:val="28"/>
          <w:szCs w:val="28"/>
          <w:lang w:eastAsia="zh-CN"/>
        </w:rPr>
      </w:pPr>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b/>
          <w:sz w:val="22"/>
          <w:highlight w:val="none"/>
        </w:rPr>
      </w:pPr>
      <w:r>
        <w:rPr>
          <w:rFonts w:hint="eastAsia" w:ascii="宋体" w:hAnsi="宋体" w:eastAsia="宋体" w:cs="宋体"/>
          <w:b/>
          <w:bCs/>
          <w:snapToGrid w:val="0"/>
          <w:color w:val="000000"/>
          <w:kern w:val="0"/>
          <w:sz w:val="28"/>
          <w:szCs w:val="28"/>
          <w:lang w:eastAsia="zh-CN"/>
        </w:rPr>
        <w:t>本单位承诺：</w:t>
      </w:r>
      <w:r>
        <w:rPr>
          <w:rFonts w:hint="eastAsia" w:ascii="宋体" w:hAnsi="宋体" w:eastAsia="宋体" w:cs="宋体"/>
          <w:sz w:val="28"/>
          <w:szCs w:val="28"/>
        </w:rPr>
        <w:t>此项目</w:t>
      </w:r>
      <w:r>
        <w:rPr>
          <w:rFonts w:hint="eastAsia" w:ascii="宋体" w:hAnsi="宋体" w:eastAsia="宋体" w:cs="宋体"/>
          <w:sz w:val="28"/>
          <w:szCs w:val="28"/>
          <w:lang w:val="en-US" w:eastAsia="zh-CN"/>
        </w:rPr>
        <w:t>调整</w:t>
      </w:r>
      <w:r>
        <w:rPr>
          <w:rFonts w:hint="eastAsia" w:ascii="宋体" w:hAnsi="宋体" w:eastAsia="宋体" w:cs="宋体"/>
          <w:sz w:val="28"/>
          <w:szCs w:val="28"/>
        </w:rPr>
        <w:t>过程中本单位工程技术人员进行现场踏勘，</w:t>
      </w:r>
      <w:r>
        <w:rPr>
          <w:rFonts w:hint="eastAsia" w:ascii="宋体" w:hAnsi="宋体" w:eastAsia="宋体" w:cs="宋体"/>
          <w:sz w:val="28"/>
          <w:szCs w:val="28"/>
          <w:lang w:val="en-US" w:eastAsia="zh-CN"/>
        </w:rPr>
        <w:t>评估</w:t>
      </w:r>
      <w:r>
        <w:rPr>
          <w:rFonts w:hint="eastAsia" w:ascii="宋体" w:hAnsi="宋体" w:eastAsia="宋体" w:cs="宋体"/>
          <w:sz w:val="28"/>
          <w:szCs w:val="28"/>
        </w:rPr>
        <w:t>报告引用的有关资料、标准规范等准确无误，报告依据的有关规划均为依法批准的有效规划，</w:t>
      </w:r>
      <w:r>
        <w:rPr>
          <w:rFonts w:hint="eastAsia" w:ascii="宋体" w:hAnsi="宋体" w:eastAsia="宋体" w:cs="宋体"/>
          <w:sz w:val="28"/>
          <w:szCs w:val="28"/>
          <w:lang w:val="en-US" w:eastAsia="zh-CN"/>
        </w:rPr>
        <w:t>评估</w:t>
      </w:r>
      <w:r>
        <w:rPr>
          <w:rFonts w:hint="eastAsia" w:ascii="宋体" w:hAnsi="宋体" w:eastAsia="宋体" w:cs="宋体"/>
          <w:sz w:val="28"/>
          <w:szCs w:val="28"/>
        </w:rPr>
        <w:t>报告结论真实、科学，符合项目建设要求，并依法承担相关技术责任。</w:t>
      </w: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highlight w:val="none"/>
          <w:u w:val="none" w:color="auto"/>
        </w:rPr>
        <w:sectPr>
          <w:footerReference r:id="rId4" w:type="first"/>
          <w:pgSz w:w="11906" w:h="16838"/>
          <w:pgMar w:top="1440" w:right="1701" w:bottom="1440" w:left="1701" w:header="851" w:footer="992" w:gutter="0"/>
          <w:pgNumType w:fmt="decimal" w:start="1"/>
          <w:cols w:space="425" w:num="1"/>
          <w:docGrid w:type="lines" w:linePitch="326" w:charSpace="0"/>
        </w:sect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r>
        <w:rPr>
          <w:rFonts w:hint="eastAsia" w:ascii="宋体" w:hAnsi="宋体" w:eastAsia="宋体" w:cs="宋体"/>
          <w:b/>
          <w:sz w:val="22"/>
          <w:highlight w:val="none"/>
          <w:u w:val="none" w:color="auto"/>
          <w:lang w:eastAsia="zh-CN"/>
        </w:rPr>
        <w:drawing>
          <wp:anchor distT="0" distB="0" distL="114300" distR="114300" simplePos="0" relativeHeight="251662336" behindDoc="1" locked="0" layoutInCell="1" allowOverlap="1">
            <wp:simplePos x="0" y="0"/>
            <wp:positionH relativeFrom="column">
              <wp:posOffset>-1346200</wp:posOffset>
            </wp:positionH>
            <wp:positionV relativeFrom="paragraph">
              <wp:posOffset>1249045</wp:posOffset>
            </wp:positionV>
            <wp:extent cx="8016240" cy="5668645"/>
            <wp:effectExtent l="0" t="0" r="8255" b="3810"/>
            <wp:wrapNone/>
            <wp:docPr id="12" name="图片 12" descr="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资质证书_00"/>
                    <pic:cNvPicPr>
                      <a:picLocks noChangeAspect="1"/>
                    </pic:cNvPicPr>
                  </pic:nvPicPr>
                  <pic:blipFill>
                    <a:blip r:embed="rId15"/>
                    <a:stretch>
                      <a:fillRect/>
                    </a:stretch>
                  </pic:blipFill>
                  <pic:spPr>
                    <a:xfrm rot="16200000">
                      <a:off x="0" y="0"/>
                      <a:ext cx="8016240" cy="5668645"/>
                    </a:xfrm>
                    <a:prstGeom prst="rect">
                      <a:avLst/>
                    </a:prstGeom>
                  </pic:spPr>
                </pic:pic>
              </a:graphicData>
            </a:graphic>
          </wp:anchor>
        </w:drawing>
      </w: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lang w:eastAsia="zh-CN"/>
        </w:rPr>
      </w:pPr>
    </w:p>
    <w:p>
      <w:pPr>
        <w:rPr>
          <w:rFonts w:hint="eastAsia" w:ascii="宋体" w:hAnsi="宋体" w:eastAsia="宋体" w:cs="宋体"/>
          <w:b/>
          <w:sz w:val="22"/>
          <w:highlight w:val="none"/>
          <w:u w:val="none" w:color="auto"/>
        </w:rPr>
      </w:pPr>
      <w:r>
        <w:rPr>
          <w:rFonts w:hint="eastAsia" w:ascii="宋体" w:hAnsi="宋体" w:eastAsia="宋体" w:cs="宋体"/>
          <w:b/>
          <w:sz w:val="22"/>
          <w:highlight w:val="none"/>
          <w:u w:val="none" w:color="auto"/>
        </w:rPr>
        <w:br w:type="page"/>
      </w:r>
    </w:p>
    <w:p>
      <w:pPr>
        <w:rPr>
          <w:rFonts w:hint="eastAsia" w:ascii="宋体" w:hAnsi="宋体" w:eastAsia="宋体" w:cs="宋体"/>
          <w:b/>
          <w:sz w:val="22"/>
          <w:highlight w:val="none"/>
          <w:u w:val="none" w:color="auto"/>
        </w:rPr>
      </w:pPr>
      <w:r>
        <w:rPr>
          <w:rFonts w:hint="eastAsia" w:ascii="宋体" w:hAnsi="宋体" w:eastAsia="宋体" w:cs="宋体"/>
          <w:b/>
          <w:sz w:val="22"/>
          <w:highlight w:val="none"/>
          <w:u w:val="none" w:color="auto"/>
        </w:rPr>
        <w:drawing>
          <wp:anchor distT="0" distB="0" distL="114300" distR="114300" simplePos="0" relativeHeight="251662336" behindDoc="1" locked="0" layoutInCell="1" allowOverlap="1">
            <wp:simplePos x="0" y="0"/>
            <wp:positionH relativeFrom="column">
              <wp:posOffset>-396875</wp:posOffset>
            </wp:positionH>
            <wp:positionV relativeFrom="paragraph">
              <wp:posOffset>-5715</wp:posOffset>
            </wp:positionV>
            <wp:extent cx="6216650" cy="8787130"/>
            <wp:effectExtent l="0" t="0" r="12700" b="13970"/>
            <wp:wrapNone/>
            <wp:docPr id="10" name="图片 10" descr="意见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意见表"/>
                    <pic:cNvPicPr>
                      <a:picLocks noChangeAspect="1"/>
                    </pic:cNvPicPr>
                  </pic:nvPicPr>
                  <pic:blipFill>
                    <a:blip r:embed="rId16"/>
                    <a:stretch>
                      <a:fillRect/>
                    </a:stretch>
                  </pic:blipFill>
                  <pic:spPr>
                    <a:xfrm>
                      <a:off x="0" y="0"/>
                      <a:ext cx="6216650" cy="8787130"/>
                    </a:xfrm>
                    <a:prstGeom prst="rect">
                      <a:avLst/>
                    </a:prstGeom>
                  </pic:spPr>
                </pic:pic>
              </a:graphicData>
            </a:graphic>
          </wp:anchor>
        </w:drawing>
      </w:r>
      <w:r>
        <w:rPr>
          <w:rFonts w:hint="eastAsia" w:ascii="宋体" w:hAnsi="宋体" w:eastAsia="宋体" w:cs="宋体"/>
          <w:b/>
          <w:sz w:val="22"/>
          <w:highlight w:val="none"/>
          <w:u w:val="none" w:color="auto"/>
        </w:rPr>
        <w:br w:type="page"/>
      </w: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sz w:val="22"/>
          <w:highlight w:val="none"/>
          <w:u w:val="none" w:color="auto"/>
        </w:rPr>
        <w:sectPr>
          <w:headerReference r:id="rId5" w:type="default"/>
          <w:footerReference r:id="rId6" w:type="default"/>
          <w:pgSz w:w="11906" w:h="16838"/>
          <w:pgMar w:top="1440" w:right="1701" w:bottom="1440" w:left="1701" w:header="851" w:footer="992" w:gutter="0"/>
          <w:pgNumType w:fmt="decimal" w:start="1"/>
          <w:cols w:space="425" w:num="1"/>
          <w:docGrid w:type="lines" w:linePitch="326" w:charSpace="0"/>
        </w:sectPr>
      </w:pPr>
      <w:r>
        <w:rPr>
          <w:rFonts w:hint="eastAsia" w:ascii="宋体" w:hAnsi="宋体" w:eastAsia="宋体" w:cs="宋体"/>
          <w:b/>
          <w:sz w:val="22"/>
          <w:highlight w:val="none"/>
          <w:u w:val="none" w:color="auto"/>
        </w:rPr>
        <w:drawing>
          <wp:anchor distT="0" distB="0" distL="114300" distR="114300" simplePos="0" relativeHeight="251662336" behindDoc="1" locked="0" layoutInCell="1" allowOverlap="1">
            <wp:simplePos x="0" y="0"/>
            <wp:positionH relativeFrom="column">
              <wp:posOffset>-699135</wp:posOffset>
            </wp:positionH>
            <wp:positionV relativeFrom="paragraph">
              <wp:posOffset>41275</wp:posOffset>
            </wp:positionV>
            <wp:extent cx="6876415" cy="9719945"/>
            <wp:effectExtent l="0" t="0" r="635" b="14605"/>
            <wp:wrapNone/>
            <wp:docPr id="15" name="图片 15" descr="修改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修改意见"/>
                    <pic:cNvPicPr>
                      <a:picLocks noChangeAspect="1"/>
                    </pic:cNvPicPr>
                  </pic:nvPicPr>
                  <pic:blipFill>
                    <a:blip r:embed="rId17"/>
                    <a:stretch>
                      <a:fillRect/>
                    </a:stretch>
                  </pic:blipFill>
                  <pic:spPr>
                    <a:xfrm>
                      <a:off x="0" y="0"/>
                      <a:ext cx="6876415" cy="9719945"/>
                    </a:xfrm>
                    <a:prstGeom prst="rect">
                      <a:avLst/>
                    </a:prstGeom>
                  </pic:spPr>
                </pic:pic>
              </a:graphicData>
            </a:graphic>
          </wp:anchor>
        </w:drawing>
      </w:r>
      <w:r>
        <w:rPr>
          <w:rFonts w:hint="eastAsia" w:ascii="宋体" w:hAnsi="宋体" w:eastAsia="宋体" w:cs="宋体"/>
          <w:b/>
          <w:sz w:val="22"/>
          <w:highlight w:val="none"/>
          <w:u w:val="none" w:color="auto"/>
        </w:rPr>
        <w:br w:type="page"/>
      </w:r>
    </w:p>
    <w:p>
      <w:pPr>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highlight w:val="none"/>
          <w:u w:val="none" w:color="auto"/>
        </w:rPr>
      </w:pPr>
      <w:bookmarkStart w:id="0" w:name="_Toc14528"/>
      <w:bookmarkStart w:id="1" w:name="_Toc3315"/>
      <w:bookmarkStart w:id="2" w:name="_Toc21559"/>
      <w:bookmarkStart w:id="3" w:name="_Toc498203989"/>
      <w:bookmarkStart w:id="4" w:name="_Toc498205006"/>
      <w:bookmarkStart w:id="5" w:name="_Toc498205058"/>
      <w:bookmarkStart w:id="6" w:name="_Toc498198129"/>
      <w:r>
        <w:rPr>
          <w:rFonts w:hint="eastAsia" w:ascii="宋体" w:hAnsi="宋体" w:eastAsia="宋体" w:cs="宋体"/>
          <w:sz w:val="36"/>
          <w:szCs w:val="36"/>
          <w:highlight w:val="none"/>
          <w:u w:val="none" w:color="auto"/>
        </w:rPr>
        <w:t>目录</w:t>
      </w:r>
      <w:bookmarkEnd w:id="0"/>
      <w:bookmarkEnd w:id="1"/>
      <w:bookmarkEnd w:id="2"/>
      <w:bookmarkEnd w:id="3"/>
      <w:bookmarkEnd w:id="4"/>
      <w:bookmarkEnd w:id="5"/>
      <w:bookmarkEnd w:id="6"/>
    </w:p>
    <w:p>
      <w:pPr>
        <w:pStyle w:val="13"/>
        <w:tabs>
          <w:tab w:val="right" w:leader="dot" w:pos="8504"/>
        </w:tabs>
      </w:pPr>
      <w:r>
        <w:rPr>
          <w:rFonts w:hint="eastAsia" w:ascii="宋体" w:hAnsi="宋体" w:eastAsia="宋体" w:cs="宋体"/>
          <w:sz w:val="32"/>
          <w:szCs w:val="28"/>
          <w:highlight w:val="none"/>
          <w:u w:val="none" w:color="auto"/>
        </w:rPr>
        <w:fldChar w:fldCharType="begin"/>
      </w:r>
      <w:r>
        <w:rPr>
          <w:rFonts w:hint="eastAsia" w:ascii="宋体" w:hAnsi="宋体" w:eastAsia="宋体" w:cs="宋体"/>
          <w:sz w:val="32"/>
          <w:szCs w:val="28"/>
          <w:highlight w:val="none"/>
          <w:u w:val="none" w:color="auto"/>
        </w:rPr>
        <w:instrText xml:space="preserve"> TOC \o "1-3" \h \z \u </w:instrText>
      </w:r>
      <w:r>
        <w:rPr>
          <w:rFonts w:hint="eastAsia" w:ascii="宋体" w:hAnsi="宋体" w:eastAsia="宋体" w:cs="宋体"/>
          <w:sz w:val="32"/>
          <w:szCs w:val="28"/>
          <w:highlight w:val="none"/>
          <w:u w:val="none" w:color="auto"/>
        </w:rPr>
        <w:fldChar w:fldCharType="separate"/>
      </w:r>
      <w:r>
        <w:rPr>
          <w:rFonts w:hint="eastAsia" w:ascii="宋体" w:hAnsi="宋体" w:eastAsia="宋体" w:cs="宋体"/>
          <w:szCs w:val="28"/>
          <w:highlight w:val="none"/>
          <w:u w:val="none" w:color="auto"/>
        </w:rPr>
        <w:fldChar w:fldCharType="begin"/>
      </w:r>
      <w:r>
        <w:rPr>
          <w:rFonts w:hint="eastAsia" w:ascii="宋体" w:hAnsi="宋体" w:eastAsia="宋体" w:cs="宋体"/>
          <w:szCs w:val="28"/>
          <w:highlight w:val="none"/>
        </w:rPr>
        <w:instrText xml:space="preserve"> HYPERLINK \l _Toc13326 </w:instrText>
      </w:r>
      <w:r>
        <w:rPr>
          <w:rFonts w:hint="eastAsia" w:ascii="宋体" w:hAnsi="宋体" w:eastAsia="宋体" w:cs="宋体"/>
          <w:szCs w:val="28"/>
          <w:highlight w:val="none"/>
        </w:rPr>
        <w:fldChar w:fldCharType="separate"/>
      </w:r>
      <w:r>
        <w:rPr>
          <w:rFonts w:hint="eastAsia" w:ascii="宋体" w:hAnsi="宋体" w:eastAsia="宋体" w:cs="宋体"/>
          <w:szCs w:val="36"/>
        </w:rPr>
        <w:t>第一章   项目概况</w:t>
      </w:r>
      <w:r>
        <w:tab/>
      </w:r>
      <w:r>
        <w:fldChar w:fldCharType="begin"/>
      </w:r>
      <w:r>
        <w:instrText xml:space="preserve"> PAGEREF _Toc13326 \h </w:instrText>
      </w:r>
      <w:r>
        <w:fldChar w:fldCharType="separate"/>
      </w:r>
      <w:r>
        <w:t>1</w:t>
      </w:r>
      <w:r>
        <w:fldChar w:fldCharType="end"/>
      </w:r>
      <w:r>
        <w:rPr>
          <w:rFonts w:hint="eastAsia" w:ascii="宋体" w:hAnsi="宋体" w:eastAsia="宋体" w:cs="宋体"/>
          <w:szCs w:val="28"/>
          <w:highlight w:val="none"/>
          <w:u w:val="none" w:color="auto"/>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_Toc20843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一、规划背景</w:t>
      </w:r>
      <w:r>
        <w:tab/>
      </w:r>
      <w:r>
        <w:fldChar w:fldCharType="begin"/>
      </w:r>
      <w:r>
        <w:instrText xml:space="preserve"> PAGEREF _Toc20843 \h </w:instrText>
      </w:r>
      <w:r>
        <w:fldChar w:fldCharType="separate"/>
      </w:r>
      <w:r>
        <w:t>1</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_Toc18757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二、项目基本情况</w:t>
      </w:r>
      <w:r>
        <w:tab/>
      </w:r>
      <w:r>
        <w:fldChar w:fldCharType="begin"/>
      </w:r>
      <w:r>
        <w:instrText xml:space="preserve"> PAGEREF _Toc18757 \h </w:instrText>
      </w:r>
      <w:r>
        <w:fldChar w:fldCharType="separate"/>
      </w:r>
      <w:r>
        <w:t>1</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_Toc16148 </w:instrText>
      </w:r>
      <w:r>
        <w:rPr>
          <w:rFonts w:hint="eastAsia" w:ascii="宋体" w:hAnsi="宋体" w:eastAsia="宋体" w:cs="宋体"/>
          <w:bCs/>
          <w:szCs w:val="28"/>
          <w:highlight w:val="none"/>
          <w:lang w:val="zh-CN"/>
        </w:rPr>
        <w:fldChar w:fldCharType="separate"/>
      </w:r>
      <w:r>
        <w:rPr>
          <w:rFonts w:hint="eastAsia" w:ascii="宋体" w:hAnsi="宋体" w:cs="宋体"/>
          <w:bCs w:val="0"/>
          <w:spacing w:val="10"/>
          <w:szCs w:val="30"/>
          <w:highlight w:val="none"/>
          <w:lang w:val="en-US" w:eastAsia="zh-CN"/>
        </w:rPr>
        <w:t>三、规划修改的必要性</w:t>
      </w:r>
      <w:r>
        <w:tab/>
      </w:r>
      <w:r>
        <w:fldChar w:fldCharType="begin"/>
      </w:r>
      <w:r>
        <w:instrText xml:space="preserve"> PAGEREF _Toc16148 \h </w:instrText>
      </w:r>
      <w:r>
        <w:fldChar w:fldCharType="separate"/>
      </w:r>
      <w:r>
        <w:t>4</w:t>
      </w:r>
      <w:r>
        <w:fldChar w:fldCharType="end"/>
      </w:r>
      <w:r>
        <w:rPr>
          <w:rFonts w:hint="eastAsia" w:ascii="宋体" w:hAnsi="宋体" w:eastAsia="宋体" w:cs="宋体"/>
          <w:bCs/>
          <w:szCs w:val="28"/>
          <w:highlight w:val="none"/>
          <w:u w:val="none" w:color="auto"/>
          <w:lang w:val="zh-CN"/>
        </w:rPr>
        <w:fldChar w:fldCharType="end"/>
      </w:r>
    </w:p>
    <w:p>
      <w:pPr>
        <w:pStyle w:val="13"/>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_Toc7685 </w:instrText>
      </w:r>
      <w:r>
        <w:rPr>
          <w:rFonts w:hint="eastAsia" w:ascii="宋体" w:hAnsi="宋体" w:eastAsia="宋体" w:cs="宋体"/>
          <w:bCs/>
          <w:szCs w:val="28"/>
          <w:highlight w:val="none"/>
          <w:lang w:val="zh-CN"/>
        </w:rPr>
        <w:fldChar w:fldCharType="separate"/>
      </w:r>
      <w:r>
        <w:rPr>
          <w:rFonts w:hint="eastAsia" w:ascii="宋体" w:hAnsi="宋体" w:eastAsia="宋体" w:cs="宋体"/>
          <w:szCs w:val="32"/>
        </w:rPr>
        <w:t>第</w:t>
      </w:r>
      <w:r>
        <w:rPr>
          <w:rFonts w:hint="eastAsia" w:cs="宋体"/>
          <w:szCs w:val="32"/>
          <w:lang w:val="en-US" w:eastAsia="zh-CN"/>
        </w:rPr>
        <w:t>二</w:t>
      </w:r>
      <w:r>
        <w:rPr>
          <w:rFonts w:hint="eastAsia" w:ascii="宋体" w:hAnsi="宋体" w:eastAsia="宋体" w:cs="宋体"/>
          <w:szCs w:val="32"/>
        </w:rPr>
        <w:t>章   规划总则</w:t>
      </w:r>
      <w:r>
        <w:tab/>
      </w:r>
      <w:r>
        <w:fldChar w:fldCharType="begin"/>
      </w:r>
      <w:r>
        <w:instrText xml:space="preserve"> PAGEREF _Toc7685 \h </w:instrText>
      </w:r>
      <w:r>
        <w:fldChar w:fldCharType="separate"/>
      </w:r>
      <w:r>
        <w:t>5</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_Toc30407 </w:instrText>
      </w:r>
      <w:r>
        <w:rPr>
          <w:rFonts w:hint="eastAsia" w:ascii="宋体" w:hAnsi="宋体" w:eastAsia="宋体" w:cs="宋体"/>
          <w:bCs/>
          <w:szCs w:val="28"/>
          <w:highlight w:val="none"/>
          <w:lang w:val="zh-CN"/>
        </w:rPr>
        <w:fldChar w:fldCharType="separate"/>
      </w:r>
      <w:r>
        <w:rPr>
          <w:rFonts w:hint="eastAsia" w:cs="宋体"/>
          <w:bCs/>
          <w:szCs w:val="30"/>
          <w:lang w:val="en-US" w:eastAsia="zh-CN"/>
        </w:rPr>
        <w:t>一、规划修改的依据</w:t>
      </w:r>
      <w:r>
        <w:tab/>
      </w:r>
      <w:r>
        <w:fldChar w:fldCharType="begin"/>
      </w:r>
      <w:r>
        <w:instrText xml:space="preserve"> PAGEREF _Toc30407 \h </w:instrText>
      </w:r>
      <w:r>
        <w:fldChar w:fldCharType="separate"/>
      </w:r>
      <w:r>
        <w:t>5</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_Toc10160 </w:instrText>
      </w:r>
      <w:r>
        <w:rPr>
          <w:rFonts w:hint="eastAsia" w:ascii="宋体" w:hAnsi="宋体" w:eastAsia="宋体" w:cs="宋体"/>
          <w:bCs/>
          <w:szCs w:val="28"/>
          <w:highlight w:val="none"/>
          <w:lang w:val="zh-CN"/>
        </w:rPr>
        <w:fldChar w:fldCharType="separate"/>
      </w:r>
      <w:r>
        <w:rPr>
          <w:rFonts w:hint="eastAsia" w:cs="宋体"/>
          <w:szCs w:val="30"/>
          <w:lang w:val="en-US" w:eastAsia="zh-CN"/>
        </w:rPr>
        <w:t>二</w:t>
      </w:r>
      <w:r>
        <w:rPr>
          <w:rFonts w:hint="eastAsia" w:ascii="宋体" w:hAnsi="宋体" w:eastAsia="宋体" w:cs="宋体"/>
          <w:szCs w:val="30"/>
        </w:rPr>
        <w:t>、</w:t>
      </w:r>
      <w:r>
        <w:rPr>
          <w:rFonts w:hint="eastAsia" w:cs="宋体"/>
          <w:szCs w:val="30"/>
          <w:lang w:eastAsia="zh-CN"/>
        </w:rPr>
        <w:t>规划调整原则</w:t>
      </w:r>
      <w:r>
        <w:tab/>
      </w:r>
      <w:r>
        <w:fldChar w:fldCharType="begin"/>
      </w:r>
      <w:r>
        <w:instrText xml:space="preserve"> PAGEREF _Toc10160 \h </w:instrText>
      </w:r>
      <w:r>
        <w:fldChar w:fldCharType="separate"/>
      </w:r>
      <w:r>
        <w:t>6</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_Toc20381 </w:instrText>
      </w:r>
      <w:r>
        <w:rPr>
          <w:rFonts w:hint="eastAsia" w:ascii="宋体" w:hAnsi="宋体" w:eastAsia="宋体" w:cs="宋体"/>
          <w:bCs/>
          <w:szCs w:val="28"/>
          <w:highlight w:val="none"/>
          <w:lang w:val="zh-CN"/>
        </w:rPr>
        <w:fldChar w:fldCharType="separate"/>
      </w:r>
      <w:r>
        <w:rPr>
          <w:rFonts w:hint="eastAsia" w:cs="宋体"/>
          <w:bCs/>
          <w:szCs w:val="30"/>
          <w:lang w:val="en-US" w:eastAsia="zh-CN"/>
        </w:rPr>
        <w:t>三、规划修改的重点内容</w:t>
      </w:r>
      <w:r>
        <w:tab/>
      </w:r>
      <w:r>
        <w:fldChar w:fldCharType="begin"/>
      </w:r>
      <w:r>
        <w:instrText xml:space="preserve"> PAGEREF _Toc20381 \h </w:instrText>
      </w:r>
      <w:r>
        <w:fldChar w:fldCharType="separate"/>
      </w:r>
      <w:r>
        <w:t>6</w:t>
      </w:r>
      <w:r>
        <w:fldChar w:fldCharType="end"/>
      </w:r>
      <w:r>
        <w:rPr>
          <w:rFonts w:hint="eastAsia" w:ascii="宋体" w:hAnsi="宋体" w:eastAsia="宋体" w:cs="宋体"/>
          <w:bCs/>
          <w:szCs w:val="28"/>
          <w:highlight w:val="none"/>
          <w:u w:val="none" w:color="auto"/>
          <w:lang w:val="zh-CN"/>
        </w:rPr>
        <w:fldChar w:fldCharType="end"/>
      </w:r>
    </w:p>
    <w:p>
      <w:pPr>
        <w:pStyle w:val="13"/>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_Toc9037 </w:instrText>
      </w:r>
      <w:r>
        <w:rPr>
          <w:rFonts w:hint="eastAsia" w:ascii="宋体" w:hAnsi="宋体" w:eastAsia="宋体" w:cs="宋体"/>
          <w:bCs/>
          <w:szCs w:val="28"/>
          <w:highlight w:val="none"/>
          <w:lang w:val="zh-CN"/>
        </w:rPr>
        <w:fldChar w:fldCharType="separate"/>
      </w:r>
      <w:r>
        <w:rPr>
          <w:rFonts w:hint="eastAsia" w:ascii="宋体" w:hAnsi="宋体" w:eastAsia="宋体" w:cs="宋体"/>
          <w:szCs w:val="32"/>
        </w:rPr>
        <w:t>第</w:t>
      </w:r>
      <w:r>
        <w:rPr>
          <w:rFonts w:hint="eastAsia" w:cs="宋体"/>
          <w:szCs w:val="32"/>
          <w:lang w:val="en-US" w:eastAsia="zh-CN"/>
        </w:rPr>
        <w:t>三</w:t>
      </w:r>
      <w:r>
        <w:rPr>
          <w:rFonts w:hint="eastAsia" w:ascii="宋体" w:hAnsi="宋体" w:eastAsia="宋体" w:cs="宋体"/>
          <w:szCs w:val="32"/>
        </w:rPr>
        <w:t xml:space="preserve">章  </w:t>
      </w:r>
      <w:r>
        <w:rPr>
          <w:rFonts w:hint="eastAsia" w:ascii="宋体" w:hAnsi="宋体" w:cs="宋体"/>
          <w:bCs/>
          <w:szCs w:val="30"/>
        </w:rPr>
        <w:t xml:space="preserve">  上位</w:t>
      </w:r>
      <w:r>
        <w:rPr>
          <w:rFonts w:hint="eastAsia" w:cs="宋体"/>
          <w:bCs/>
          <w:szCs w:val="30"/>
          <w:lang w:val="en-US" w:eastAsia="zh-CN"/>
        </w:rPr>
        <w:t>规划</w:t>
      </w:r>
      <w:r>
        <w:rPr>
          <w:rFonts w:hint="eastAsia" w:ascii="宋体" w:hAnsi="宋体" w:cs="宋体"/>
          <w:bCs/>
          <w:szCs w:val="30"/>
        </w:rPr>
        <w:t>及涉及地块简介</w:t>
      </w:r>
      <w:r>
        <w:tab/>
      </w:r>
      <w:r>
        <w:fldChar w:fldCharType="begin"/>
      </w:r>
      <w:r>
        <w:instrText xml:space="preserve"> PAGEREF _Toc9037 \h </w:instrText>
      </w:r>
      <w:r>
        <w:fldChar w:fldCharType="separate"/>
      </w:r>
      <w:r>
        <w:t>7</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_Toc4998 </w:instrText>
      </w:r>
      <w:r>
        <w:rPr>
          <w:rFonts w:hint="eastAsia" w:ascii="宋体" w:hAnsi="宋体" w:eastAsia="宋体" w:cs="宋体"/>
          <w:bCs/>
          <w:szCs w:val="28"/>
          <w:highlight w:val="none"/>
          <w:lang w:val="zh-CN"/>
        </w:rPr>
        <w:fldChar w:fldCharType="separate"/>
      </w:r>
      <w:r>
        <w:rPr>
          <w:rFonts w:hint="eastAsia" w:cs="宋体"/>
          <w:bCs/>
          <w:szCs w:val="30"/>
          <w:lang w:val="en-US" w:eastAsia="zh-CN"/>
        </w:rPr>
        <w:t>一、《夏县中心城区控制性详细规划》相关内容</w:t>
      </w:r>
      <w:r>
        <w:tab/>
      </w:r>
      <w:r>
        <w:fldChar w:fldCharType="begin"/>
      </w:r>
      <w:r>
        <w:instrText xml:space="preserve"> PAGEREF _Toc4998 \h </w:instrText>
      </w:r>
      <w:r>
        <w:fldChar w:fldCharType="separate"/>
      </w:r>
      <w:r>
        <w:t>7</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_Toc22511 </w:instrText>
      </w:r>
      <w:r>
        <w:rPr>
          <w:rFonts w:hint="eastAsia" w:ascii="宋体" w:hAnsi="宋体" w:eastAsia="宋体" w:cs="宋体"/>
          <w:bCs/>
          <w:szCs w:val="28"/>
          <w:highlight w:val="none"/>
          <w:lang w:val="zh-CN"/>
        </w:rPr>
        <w:fldChar w:fldCharType="separate"/>
      </w:r>
      <w:r>
        <w:rPr>
          <w:rFonts w:hint="eastAsia" w:cs="宋体"/>
          <w:bCs/>
          <w:szCs w:val="30"/>
          <w:lang w:val="en-US" w:eastAsia="zh-CN"/>
        </w:rPr>
        <w:t>二、《夏县国土空间总体规划（2021-2035年）》相关内容</w:t>
      </w:r>
      <w:r>
        <w:tab/>
      </w:r>
      <w:r>
        <w:fldChar w:fldCharType="begin"/>
      </w:r>
      <w:r>
        <w:instrText xml:space="preserve"> PAGEREF _Toc22511 \h </w:instrText>
      </w:r>
      <w:r>
        <w:fldChar w:fldCharType="separate"/>
      </w:r>
      <w:r>
        <w:t>8</w:t>
      </w:r>
      <w:r>
        <w:fldChar w:fldCharType="end"/>
      </w:r>
      <w:r>
        <w:rPr>
          <w:rFonts w:hint="eastAsia" w:ascii="宋体" w:hAnsi="宋体" w:eastAsia="宋体" w:cs="宋体"/>
          <w:bCs/>
          <w:szCs w:val="28"/>
          <w:highlight w:val="none"/>
          <w:u w:val="none" w:color="auto"/>
          <w:lang w:val="zh-CN"/>
        </w:rPr>
        <w:fldChar w:fldCharType="end"/>
      </w:r>
    </w:p>
    <w:p>
      <w:pPr>
        <w:pStyle w:val="13"/>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_Toc5410 </w:instrText>
      </w:r>
      <w:r>
        <w:rPr>
          <w:rFonts w:hint="eastAsia" w:ascii="宋体" w:hAnsi="宋体" w:eastAsia="宋体" w:cs="宋体"/>
          <w:bCs/>
          <w:szCs w:val="28"/>
          <w:highlight w:val="none"/>
          <w:lang w:val="zh-CN"/>
        </w:rPr>
        <w:fldChar w:fldCharType="separate"/>
      </w:r>
      <w:r>
        <w:rPr>
          <w:rFonts w:hint="eastAsia" w:ascii="宋体" w:hAnsi="宋体" w:eastAsia="宋体" w:cs="宋体"/>
          <w:szCs w:val="32"/>
        </w:rPr>
        <w:t>第</w:t>
      </w:r>
      <w:r>
        <w:rPr>
          <w:rFonts w:hint="eastAsia" w:ascii="宋体" w:hAnsi="宋体" w:eastAsia="宋体" w:cs="宋体"/>
          <w:szCs w:val="32"/>
          <w:lang w:val="en-US" w:eastAsia="zh-CN"/>
        </w:rPr>
        <w:t>四</w:t>
      </w:r>
      <w:r>
        <w:rPr>
          <w:rFonts w:hint="eastAsia" w:ascii="宋体" w:hAnsi="宋体" w:eastAsia="宋体" w:cs="宋体"/>
          <w:szCs w:val="32"/>
        </w:rPr>
        <w:t>章   规划</w:t>
      </w:r>
      <w:r>
        <w:rPr>
          <w:rFonts w:hint="eastAsia" w:ascii="宋体" w:hAnsi="宋体" w:eastAsia="宋体" w:cs="宋体"/>
          <w:szCs w:val="32"/>
          <w:lang w:val="en-US" w:eastAsia="zh-CN"/>
        </w:rPr>
        <w:t>修改</w:t>
      </w:r>
      <w:r>
        <w:rPr>
          <w:rFonts w:hint="eastAsia" w:ascii="宋体" w:hAnsi="宋体" w:eastAsia="宋体" w:cs="宋体"/>
          <w:szCs w:val="32"/>
          <w:lang w:eastAsia="zh-CN"/>
        </w:rPr>
        <w:t>方案</w:t>
      </w:r>
      <w:r>
        <w:tab/>
      </w:r>
      <w:r>
        <w:fldChar w:fldCharType="begin"/>
      </w:r>
      <w:r>
        <w:instrText xml:space="preserve"> PAGEREF _Toc5410 \h </w:instrText>
      </w:r>
      <w:r>
        <w:fldChar w:fldCharType="separate"/>
      </w:r>
      <w:r>
        <w:t>8</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_Toc11905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一、 地块划分和编号</w:t>
      </w:r>
      <w:r>
        <w:tab/>
      </w:r>
      <w:r>
        <w:fldChar w:fldCharType="begin"/>
      </w:r>
      <w:r>
        <w:instrText xml:space="preserve"> PAGEREF _Toc11905 \h </w:instrText>
      </w:r>
      <w:r>
        <w:fldChar w:fldCharType="separate"/>
      </w:r>
      <w:r>
        <w:t>8</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_Toc5580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二、 用地性质调整</w:t>
      </w:r>
      <w:r>
        <w:tab/>
      </w:r>
      <w:r>
        <w:fldChar w:fldCharType="begin"/>
      </w:r>
      <w:r>
        <w:instrText xml:space="preserve"> PAGEREF _Toc5580 \h </w:instrText>
      </w:r>
      <w:r>
        <w:fldChar w:fldCharType="separate"/>
      </w:r>
      <w:r>
        <w:t>8</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_Toc32737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三、 用地规模调整</w:t>
      </w:r>
      <w:r>
        <w:tab/>
      </w:r>
      <w:r>
        <w:fldChar w:fldCharType="begin"/>
      </w:r>
      <w:r>
        <w:instrText xml:space="preserve"> PAGEREF _Toc32737 \h </w:instrText>
      </w:r>
      <w:r>
        <w:fldChar w:fldCharType="separate"/>
      </w:r>
      <w:r>
        <w:t>9</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_Toc29490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四、 调整前后对比</w:t>
      </w:r>
      <w:r>
        <w:tab/>
      </w:r>
      <w:r>
        <w:fldChar w:fldCharType="begin"/>
      </w:r>
      <w:r>
        <w:instrText xml:space="preserve"> PAGEREF _Toc29490 \h </w:instrText>
      </w:r>
      <w:r>
        <w:fldChar w:fldCharType="separate"/>
      </w:r>
      <w:r>
        <w:t>9</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_Toc4163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五、A-08-02、A-08-07地块坐标表</w:t>
      </w:r>
      <w:r>
        <w:tab/>
      </w:r>
      <w:r>
        <w:fldChar w:fldCharType="begin"/>
      </w:r>
      <w:r>
        <w:instrText xml:space="preserve"> PAGEREF _Toc4163 \h </w:instrText>
      </w:r>
      <w:r>
        <w:fldChar w:fldCharType="separate"/>
      </w:r>
      <w:r>
        <w:t>10</w:t>
      </w:r>
      <w:r>
        <w:fldChar w:fldCharType="end"/>
      </w:r>
      <w:r>
        <w:rPr>
          <w:rFonts w:hint="eastAsia" w:ascii="宋体" w:hAnsi="宋体" w:eastAsia="宋体" w:cs="宋体"/>
          <w:bCs/>
          <w:szCs w:val="28"/>
          <w:highlight w:val="none"/>
          <w:u w:val="none" w:color="auto"/>
          <w:lang w:val="zh-CN"/>
        </w:rPr>
        <w:fldChar w:fldCharType="end"/>
      </w:r>
    </w:p>
    <w:p>
      <w:pPr>
        <w:pStyle w:val="13"/>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_Toc28920 </w:instrText>
      </w:r>
      <w:r>
        <w:rPr>
          <w:rFonts w:hint="eastAsia" w:ascii="宋体" w:hAnsi="宋体" w:eastAsia="宋体" w:cs="宋体"/>
          <w:bCs/>
          <w:szCs w:val="28"/>
          <w:highlight w:val="none"/>
          <w:lang w:val="zh-CN"/>
        </w:rPr>
        <w:fldChar w:fldCharType="separate"/>
      </w:r>
      <w:r>
        <w:rPr>
          <w:rFonts w:hint="eastAsia" w:ascii="宋体" w:hAnsi="宋体" w:cs="宋体"/>
          <w:bCs/>
          <w:szCs w:val="32"/>
        </w:rPr>
        <w:t>第</w:t>
      </w:r>
      <w:r>
        <w:rPr>
          <w:rFonts w:hint="eastAsia" w:cs="宋体"/>
          <w:bCs/>
          <w:szCs w:val="32"/>
          <w:lang w:val="en-US" w:eastAsia="zh-CN"/>
        </w:rPr>
        <w:t>五</w:t>
      </w:r>
      <w:r>
        <w:rPr>
          <w:rFonts w:hint="eastAsia" w:ascii="宋体" w:hAnsi="宋体" w:cs="宋体"/>
          <w:bCs/>
          <w:szCs w:val="32"/>
        </w:rPr>
        <w:t>章 建设开发控制</w:t>
      </w:r>
      <w:r>
        <w:tab/>
      </w:r>
      <w:r>
        <w:fldChar w:fldCharType="begin"/>
      </w:r>
      <w:r>
        <w:instrText xml:space="preserve"> PAGEREF _Toc28920 \h </w:instrText>
      </w:r>
      <w:r>
        <w:fldChar w:fldCharType="separate"/>
      </w:r>
      <w:r>
        <w:t>11</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_Toc4173 </w:instrText>
      </w:r>
      <w:r>
        <w:rPr>
          <w:rFonts w:hint="eastAsia" w:ascii="宋体" w:hAnsi="宋体" w:eastAsia="宋体" w:cs="宋体"/>
          <w:bCs/>
          <w:szCs w:val="28"/>
          <w:highlight w:val="none"/>
          <w:lang w:val="zh-CN"/>
        </w:rPr>
        <w:fldChar w:fldCharType="separate"/>
      </w:r>
      <w:r>
        <w:rPr>
          <w:rFonts w:hint="eastAsia" w:ascii="宋体" w:hAnsi="宋体" w:cs="宋体"/>
          <w:bCs/>
          <w:szCs w:val="30"/>
        </w:rPr>
        <w:t>一、土地开发强度</w:t>
      </w:r>
      <w:r>
        <w:tab/>
      </w:r>
      <w:r>
        <w:fldChar w:fldCharType="begin"/>
      </w:r>
      <w:r>
        <w:instrText xml:space="preserve"> PAGEREF _Toc4173 \h </w:instrText>
      </w:r>
      <w:r>
        <w:fldChar w:fldCharType="separate"/>
      </w:r>
      <w:r>
        <w:t>11</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_Toc29276 </w:instrText>
      </w:r>
      <w:r>
        <w:rPr>
          <w:rFonts w:hint="eastAsia" w:ascii="宋体" w:hAnsi="宋体" w:eastAsia="宋体" w:cs="宋体"/>
          <w:bCs/>
          <w:szCs w:val="28"/>
          <w:highlight w:val="none"/>
          <w:lang w:val="zh-CN"/>
        </w:rPr>
        <w:fldChar w:fldCharType="separate"/>
      </w:r>
      <w:r>
        <w:rPr>
          <w:rFonts w:hint="eastAsia" w:ascii="宋体" w:hAnsi="宋体" w:cs="宋体"/>
          <w:bCs/>
          <w:szCs w:val="30"/>
        </w:rPr>
        <w:t>二、建筑间距及建筑后退控制</w:t>
      </w:r>
      <w:r>
        <w:tab/>
      </w:r>
      <w:r>
        <w:fldChar w:fldCharType="begin"/>
      </w:r>
      <w:r>
        <w:instrText xml:space="preserve"> PAGEREF _Toc29276 \h </w:instrText>
      </w:r>
      <w:r>
        <w:fldChar w:fldCharType="separate"/>
      </w:r>
      <w:r>
        <w:t>11</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_Toc16058 </w:instrText>
      </w:r>
      <w:r>
        <w:rPr>
          <w:rFonts w:hint="eastAsia" w:ascii="宋体" w:hAnsi="宋体" w:eastAsia="宋体" w:cs="宋体"/>
          <w:bCs/>
          <w:szCs w:val="28"/>
          <w:highlight w:val="none"/>
          <w:lang w:val="zh-CN"/>
        </w:rPr>
        <w:fldChar w:fldCharType="separate"/>
      </w:r>
      <w:r>
        <w:rPr>
          <w:rFonts w:hint="eastAsia" w:ascii="宋体" w:hAnsi="宋体" w:cs="宋体"/>
          <w:bCs/>
          <w:szCs w:val="30"/>
        </w:rPr>
        <w:t>三、高度控制</w:t>
      </w:r>
      <w:r>
        <w:tab/>
      </w:r>
      <w:r>
        <w:fldChar w:fldCharType="begin"/>
      </w:r>
      <w:r>
        <w:instrText xml:space="preserve"> PAGEREF _Toc16058 \h </w:instrText>
      </w:r>
      <w:r>
        <w:fldChar w:fldCharType="separate"/>
      </w:r>
      <w:r>
        <w:t>11</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_Toc10739 </w:instrText>
      </w:r>
      <w:r>
        <w:rPr>
          <w:rFonts w:hint="eastAsia" w:ascii="宋体" w:hAnsi="宋体" w:eastAsia="宋体" w:cs="宋体"/>
          <w:bCs/>
          <w:szCs w:val="28"/>
          <w:highlight w:val="none"/>
          <w:lang w:val="zh-CN"/>
        </w:rPr>
        <w:fldChar w:fldCharType="separate"/>
      </w:r>
      <w:r>
        <w:rPr>
          <w:rFonts w:hint="eastAsia" w:ascii="宋体" w:hAnsi="宋体" w:cs="宋体"/>
          <w:bCs/>
          <w:szCs w:val="30"/>
        </w:rPr>
        <w:t>四、绿地率要求</w:t>
      </w:r>
      <w:r>
        <w:tab/>
      </w:r>
      <w:r>
        <w:fldChar w:fldCharType="begin"/>
      </w:r>
      <w:r>
        <w:instrText xml:space="preserve"> PAGEREF _Toc10739 \h </w:instrText>
      </w:r>
      <w:r>
        <w:fldChar w:fldCharType="separate"/>
      </w:r>
      <w:r>
        <w:t>12</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_Toc16252 </w:instrText>
      </w:r>
      <w:r>
        <w:rPr>
          <w:rFonts w:hint="eastAsia" w:ascii="宋体" w:hAnsi="宋体" w:eastAsia="宋体" w:cs="宋体"/>
          <w:bCs/>
          <w:szCs w:val="28"/>
          <w:highlight w:val="none"/>
          <w:lang w:val="zh-CN"/>
        </w:rPr>
        <w:fldChar w:fldCharType="separate"/>
      </w:r>
      <w:r>
        <w:rPr>
          <w:rFonts w:hint="eastAsia" w:cs="宋体"/>
          <w:bCs/>
          <w:szCs w:val="30"/>
          <w:lang w:val="en-US" w:eastAsia="zh-CN"/>
        </w:rPr>
        <w:t>五</w:t>
      </w:r>
      <w:r>
        <w:rPr>
          <w:rFonts w:hint="eastAsia" w:ascii="宋体" w:hAnsi="宋体" w:cs="宋体"/>
          <w:bCs/>
          <w:szCs w:val="30"/>
        </w:rPr>
        <w:t>、配套设施要求</w:t>
      </w:r>
      <w:r>
        <w:tab/>
      </w:r>
      <w:r>
        <w:fldChar w:fldCharType="begin"/>
      </w:r>
      <w:r>
        <w:instrText xml:space="preserve"> PAGEREF _Toc16252 \h </w:instrText>
      </w:r>
      <w:r>
        <w:fldChar w:fldCharType="separate"/>
      </w:r>
      <w:r>
        <w:t>12</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_Toc24759 </w:instrText>
      </w:r>
      <w:r>
        <w:rPr>
          <w:rFonts w:hint="eastAsia" w:ascii="宋体" w:hAnsi="宋体" w:eastAsia="宋体" w:cs="宋体"/>
          <w:bCs/>
          <w:szCs w:val="28"/>
          <w:highlight w:val="none"/>
          <w:lang w:val="zh-CN"/>
        </w:rPr>
        <w:fldChar w:fldCharType="separate"/>
      </w:r>
      <w:r>
        <w:rPr>
          <w:rFonts w:hint="eastAsia" w:cs="宋体"/>
          <w:bCs/>
          <w:szCs w:val="30"/>
          <w:lang w:val="en-US" w:eastAsia="zh-CN"/>
        </w:rPr>
        <w:t>六</w:t>
      </w:r>
      <w:r>
        <w:rPr>
          <w:rFonts w:hint="eastAsia" w:ascii="宋体" w:hAnsi="宋体" w:cs="宋体"/>
          <w:bCs/>
          <w:szCs w:val="30"/>
        </w:rPr>
        <w:t>、交通组织规划</w:t>
      </w:r>
      <w:r>
        <w:tab/>
      </w:r>
      <w:r>
        <w:fldChar w:fldCharType="begin"/>
      </w:r>
      <w:r>
        <w:instrText xml:space="preserve"> PAGEREF _Toc24759 \h </w:instrText>
      </w:r>
      <w:r>
        <w:fldChar w:fldCharType="separate"/>
      </w:r>
      <w:r>
        <w:t>12</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_Toc24882 </w:instrText>
      </w:r>
      <w:r>
        <w:rPr>
          <w:rFonts w:hint="eastAsia" w:ascii="宋体" w:hAnsi="宋体" w:eastAsia="宋体" w:cs="宋体"/>
          <w:bCs/>
          <w:szCs w:val="28"/>
          <w:highlight w:val="none"/>
          <w:lang w:val="zh-CN"/>
        </w:rPr>
        <w:fldChar w:fldCharType="separate"/>
      </w:r>
      <w:r>
        <w:rPr>
          <w:rFonts w:hint="eastAsia" w:cs="宋体"/>
          <w:bCs/>
          <w:szCs w:val="30"/>
          <w:lang w:val="en-US" w:eastAsia="zh-CN"/>
        </w:rPr>
        <w:t>七</w:t>
      </w:r>
      <w:r>
        <w:rPr>
          <w:rFonts w:hint="eastAsia" w:ascii="宋体" w:hAnsi="宋体" w:cs="宋体"/>
          <w:bCs/>
          <w:szCs w:val="30"/>
        </w:rPr>
        <w:t>、禁开口路段</w:t>
      </w:r>
      <w:r>
        <w:tab/>
      </w:r>
      <w:r>
        <w:fldChar w:fldCharType="begin"/>
      </w:r>
      <w:r>
        <w:instrText xml:space="preserve"> PAGEREF _Toc24882 \h </w:instrText>
      </w:r>
      <w:r>
        <w:fldChar w:fldCharType="separate"/>
      </w:r>
      <w:r>
        <w:t>12</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_Toc22059 </w:instrText>
      </w:r>
      <w:r>
        <w:rPr>
          <w:rFonts w:hint="eastAsia" w:ascii="宋体" w:hAnsi="宋体" w:eastAsia="宋体" w:cs="宋体"/>
          <w:bCs/>
          <w:szCs w:val="28"/>
          <w:highlight w:val="none"/>
          <w:lang w:val="zh-CN"/>
        </w:rPr>
        <w:fldChar w:fldCharType="separate"/>
      </w:r>
      <w:r>
        <w:rPr>
          <w:rFonts w:hint="eastAsia" w:cs="宋体"/>
          <w:bCs/>
          <w:szCs w:val="30"/>
          <w:lang w:val="en-US" w:eastAsia="zh-CN"/>
        </w:rPr>
        <w:t>八</w:t>
      </w:r>
      <w:r>
        <w:rPr>
          <w:rFonts w:hint="eastAsia" w:ascii="宋体" w:hAnsi="宋体" w:cs="宋体"/>
          <w:bCs/>
          <w:szCs w:val="30"/>
        </w:rPr>
        <w:t>、市政工程规划要求</w:t>
      </w:r>
      <w:r>
        <w:tab/>
      </w:r>
      <w:r>
        <w:fldChar w:fldCharType="begin"/>
      </w:r>
      <w:r>
        <w:instrText xml:space="preserve"> PAGEREF _Toc22059 \h </w:instrText>
      </w:r>
      <w:r>
        <w:fldChar w:fldCharType="separate"/>
      </w:r>
      <w:r>
        <w:t>12</w:t>
      </w:r>
      <w:r>
        <w:fldChar w:fldCharType="end"/>
      </w:r>
      <w:r>
        <w:rPr>
          <w:rFonts w:hint="eastAsia" w:ascii="宋体" w:hAnsi="宋体" w:eastAsia="宋体" w:cs="宋体"/>
          <w:bCs/>
          <w:szCs w:val="28"/>
          <w:highlight w:val="none"/>
          <w:u w:val="none" w:color="auto"/>
          <w:lang w:val="zh-CN"/>
        </w:rPr>
        <w:fldChar w:fldCharType="end"/>
      </w:r>
    </w:p>
    <w:p>
      <w:pPr>
        <w:pStyle w:val="13"/>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_Toc27436 </w:instrText>
      </w:r>
      <w:r>
        <w:rPr>
          <w:rFonts w:hint="eastAsia" w:ascii="宋体" w:hAnsi="宋体" w:eastAsia="宋体" w:cs="宋体"/>
          <w:bCs/>
          <w:szCs w:val="28"/>
          <w:highlight w:val="none"/>
          <w:lang w:val="zh-CN"/>
        </w:rPr>
        <w:fldChar w:fldCharType="separate"/>
      </w:r>
      <w:r>
        <w:rPr>
          <w:rFonts w:hint="eastAsia" w:ascii="宋体" w:hAnsi="宋体" w:cs="宋体"/>
          <w:bCs/>
          <w:szCs w:val="32"/>
          <w:lang w:val="en-US" w:eastAsia="zh-CN"/>
        </w:rPr>
        <w:t>第六章  控规修改可行性分析</w:t>
      </w:r>
      <w:r>
        <w:tab/>
      </w:r>
      <w:r>
        <w:fldChar w:fldCharType="begin"/>
      </w:r>
      <w:r>
        <w:instrText xml:space="preserve"> PAGEREF _Toc27436 \h </w:instrText>
      </w:r>
      <w:r>
        <w:fldChar w:fldCharType="separate"/>
      </w:r>
      <w:r>
        <w:t>13</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_Toc2774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一、</w:t>
      </w:r>
      <w:r>
        <w:rPr>
          <w:rFonts w:hint="eastAsia" w:ascii="宋体" w:hAnsi="宋体" w:eastAsia="宋体" w:cs="宋体"/>
          <w:bCs w:val="0"/>
          <w:szCs w:val="30"/>
          <w:lang w:val="en-US" w:eastAsia="zh-CN"/>
        </w:rPr>
        <w:t>用地</w:t>
      </w:r>
      <w:r>
        <w:rPr>
          <w:rFonts w:hint="eastAsia" w:cs="宋体"/>
          <w:bCs w:val="0"/>
          <w:szCs w:val="30"/>
          <w:lang w:val="en-US" w:eastAsia="zh-CN"/>
        </w:rPr>
        <w:t>范围调整</w:t>
      </w:r>
      <w:r>
        <w:rPr>
          <w:rFonts w:hint="eastAsia" w:ascii="宋体" w:hAnsi="宋体" w:eastAsia="宋体" w:cs="宋体"/>
          <w:bCs w:val="0"/>
          <w:szCs w:val="30"/>
          <w:lang w:val="en-US" w:eastAsia="zh-CN"/>
        </w:rPr>
        <w:t>分析</w:t>
      </w:r>
      <w:r>
        <w:tab/>
      </w:r>
      <w:r>
        <w:fldChar w:fldCharType="begin"/>
      </w:r>
      <w:r>
        <w:instrText xml:space="preserve"> PAGEREF _Toc2774 \h </w:instrText>
      </w:r>
      <w:r>
        <w:fldChar w:fldCharType="separate"/>
      </w:r>
      <w:r>
        <w:t>13</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_Toc8325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二、用地指标分析</w:t>
      </w:r>
      <w:r>
        <w:tab/>
      </w:r>
      <w:r>
        <w:fldChar w:fldCharType="begin"/>
      </w:r>
      <w:r>
        <w:instrText xml:space="preserve"> PAGEREF _Toc8325 \h </w:instrText>
      </w:r>
      <w:r>
        <w:fldChar w:fldCharType="separate"/>
      </w:r>
      <w:r>
        <w:t>13</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_Toc18718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三、对周边用地的影响分析</w:t>
      </w:r>
      <w:r>
        <w:tab/>
      </w:r>
      <w:r>
        <w:fldChar w:fldCharType="begin"/>
      </w:r>
      <w:r>
        <w:instrText xml:space="preserve"> PAGEREF _Toc18718 \h </w:instrText>
      </w:r>
      <w:r>
        <w:fldChar w:fldCharType="separate"/>
      </w:r>
      <w:r>
        <w:t>15</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_Toc1610 </w:instrText>
      </w:r>
      <w:r>
        <w:rPr>
          <w:rFonts w:hint="eastAsia" w:ascii="宋体" w:hAnsi="宋体" w:eastAsia="宋体" w:cs="宋体"/>
          <w:bCs/>
          <w:szCs w:val="28"/>
          <w:highlight w:val="none"/>
          <w:lang w:val="zh-CN"/>
        </w:rPr>
        <w:fldChar w:fldCharType="separate"/>
      </w:r>
      <w:r>
        <w:rPr>
          <w:rFonts w:hint="eastAsia" w:cs="宋体"/>
          <w:bCs w:val="0"/>
          <w:szCs w:val="30"/>
          <w:lang w:val="en-US" w:eastAsia="zh-CN"/>
        </w:rPr>
        <w:t>四、对居民的影响分析</w:t>
      </w:r>
      <w:r>
        <w:tab/>
      </w:r>
      <w:r>
        <w:fldChar w:fldCharType="begin"/>
      </w:r>
      <w:r>
        <w:instrText xml:space="preserve"> PAGEREF _Toc1610 \h </w:instrText>
      </w:r>
      <w:r>
        <w:fldChar w:fldCharType="separate"/>
      </w:r>
      <w:r>
        <w:t>15</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_Toc22411 </w:instrText>
      </w:r>
      <w:r>
        <w:rPr>
          <w:rFonts w:hint="eastAsia" w:ascii="宋体" w:hAnsi="宋体" w:eastAsia="宋体" w:cs="宋体"/>
          <w:bCs/>
          <w:szCs w:val="28"/>
          <w:highlight w:val="none"/>
          <w:lang w:val="zh-CN"/>
        </w:rPr>
        <w:fldChar w:fldCharType="separate"/>
      </w:r>
      <w:r>
        <w:rPr>
          <w:rFonts w:hint="eastAsia" w:cs="宋体"/>
          <w:bCs w:val="0"/>
          <w:szCs w:val="28"/>
          <w:lang w:val="en-US" w:eastAsia="zh-CN"/>
        </w:rPr>
        <w:t>五</w:t>
      </w:r>
      <w:r>
        <w:rPr>
          <w:rFonts w:hint="eastAsia" w:ascii="宋体" w:hAnsi="宋体" w:eastAsia="宋体" w:cs="宋体"/>
          <w:bCs w:val="0"/>
          <w:szCs w:val="28"/>
          <w:lang w:val="en-US" w:eastAsia="zh-CN"/>
        </w:rPr>
        <w:t>、公共服务设施</w:t>
      </w:r>
      <w:r>
        <w:rPr>
          <w:rFonts w:hint="eastAsia" w:cs="宋体"/>
          <w:bCs w:val="0"/>
          <w:szCs w:val="28"/>
          <w:lang w:val="en-US" w:eastAsia="zh-CN"/>
        </w:rPr>
        <w:t>及基础设施</w:t>
      </w:r>
      <w:r>
        <w:rPr>
          <w:rFonts w:hint="eastAsia" w:ascii="宋体" w:hAnsi="宋体" w:eastAsia="宋体" w:cs="宋体"/>
          <w:bCs w:val="0"/>
          <w:szCs w:val="28"/>
          <w:lang w:val="en-US" w:eastAsia="zh-CN"/>
        </w:rPr>
        <w:t>影响</w:t>
      </w:r>
      <w:r>
        <w:rPr>
          <w:rFonts w:hint="eastAsia" w:cs="宋体"/>
          <w:bCs w:val="0"/>
          <w:szCs w:val="28"/>
          <w:lang w:val="en-US" w:eastAsia="zh-CN"/>
        </w:rPr>
        <w:t>分析</w:t>
      </w:r>
      <w:r>
        <w:tab/>
      </w:r>
      <w:r>
        <w:fldChar w:fldCharType="begin"/>
      </w:r>
      <w:r>
        <w:instrText xml:space="preserve"> PAGEREF _Toc22411 \h </w:instrText>
      </w:r>
      <w:r>
        <w:fldChar w:fldCharType="separate"/>
      </w:r>
      <w:r>
        <w:t>15</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_Toc12903 </w:instrText>
      </w:r>
      <w:r>
        <w:rPr>
          <w:rFonts w:hint="eastAsia" w:ascii="宋体" w:hAnsi="宋体" w:eastAsia="宋体" w:cs="宋体"/>
          <w:bCs/>
          <w:szCs w:val="28"/>
          <w:highlight w:val="none"/>
          <w:lang w:val="zh-CN"/>
        </w:rPr>
        <w:fldChar w:fldCharType="separate"/>
      </w:r>
      <w:r>
        <w:rPr>
          <w:rFonts w:hint="eastAsia" w:cs="宋体"/>
          <w:bCs w:val="0"/>
          <w:szCs w:val="28"/>
          <w:lang w:val="en-US" w:eastAsia="zh-CN"/>
        </w:rPr>
        <w:t>六</w:t>
      </w:r>
      <w:r>
        <w:rPr>
          <w:rFonts w:hint="eastAsia" w:ascii="宋体" w:hAnsi="宋体" w:eastAsia="宋体" w:cs="宋体"/>
          <w:bCs w:val="0"/>
          <w:szCs w:val="28"/>
          <w:lang w:val="en-US" w:eastAsia="zh-CN"/>
        </w:rPr>
        <w:t>、道路交通影响</w:t>
      </w:r>
      <w:r>
        <w:rPr>
          <w:rFonts w:hint="eastAsia" w:cs="宋体"/>
          <w:bCs w:val="0"/>
          <w:szCs w:val="28"/>
          <w:lang w:val="en-US" w:eastAsia="zh-CN"/>
        </w:rPr>
        <w:t>分析</w:t>
      </w:r>
      <w:r>
        <w:tab/>
      </w:r>
      <w:r>
        <w:fldChar w:fldCharType="begin"/>
      </w:r>
      <w:r>
        <w:instrText xml:space="preserve"> PAGEREF _Toc12903 \h </w:instrText>
      </w:r>
      <w:r>
        <w:fldChar w:fldCharType="separate"/>
      </w:r>
      <w:r>
        <w:t>15</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_Toc15141 </w:instrText>
      </w:r>
      <w:r>
        <w:rPr>
          <w:rFonts w:hint="eastAsia" w:ascii="宋体" w:hAnsi="宋体" w:eastAsia="宋体" w:cs="宋体"/>
          <w:bCs/>
          <w:szCs w:val="28"/>
          <w:highlight w:val="none"/>
          <w:lang w:val="zh-CN"/>
        </w:rPr>
        <w:fldChar w:fldCharType="separate"/>
      </w:r>
      <w:r>
        <w:rPr>
          <w:rFonts w:hint="eastAsia" w:cs="宋体"/>
          <w:bCs w:val="0"/>
          <w:szCs w:val="28"/>
          <w:lang w:val="en-US" w:eastAsia="zh-CN"/>
        </w:rPr>
        <w:t>七、城市设计及景观影响分析</w:t>
      </w:r>
      <w:r>
        <w:tab/>
      </w:r>
      <w:r>
        <w:fldChar w:fldCharType="begin"/>
      </w:r>
      <w:r>
        <w:instrText xml:space="preserve"> PAGEREF _Toc15141 \h </w:instrText>
      </w:r>
      <w:r>
        <w:fldChar w:fldCharType="separate"/>
      </w:r>
      <w:r>
        <w:t>15</w:t>
      </w:r>
      <w:r>
        <w:fldChar w:fldCharType="end"/>
      </w:r>
      <w:r>
        <w:rPr>
          <w:rFonts w:hint="eastAsia" w:ascii="宋体" w:hAnsi="宋体" w:eastAsia="宋体" w:cs="宋体"/>
          <w:bCs/>
          <w:szCs w:val="28"/>
          <w:highlight w:val="none"/>
          <w:u w:val="none" w:color="auto"/>
          <w:lang w:val="zh-CN"/>
        </w:rPr>
        <w:fldChar w:fldCharType="end"/>
      </w:r>
    </w:p>
    <w:p>
      <w:pPr>
        <w:pStyle w:val="13"/>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_Toc1385 </w:instrText>
      </w:r>
      <w:r>
        <w:rPr>
          <w:rFonts w:hint="eastAsia" w:ascii="宋体" w:hAnsi="宋体" w:eastAsia="宋体" w:cs="宋体"/>
          <w:bCs/>
          <w:szCs w:val="28"/>
          <w:highlight w:val="none"/>
          <w:lang w:val="zh-CN"/>
        </w:rPr>
        <w:fldChar w:fldCharType="separate"/>
      </w:r>
      <w:r>
        <w:rPr>
          <w:rFonts w:hint="eastAsia" w:ascii="宋体" w:hAnsi="宋体" w:eastAsia="宋体" w:cs="宋体"/>
          <w:bCs w:val="0"/>
          <w:szCs w:val="32"/>
          <w:lang w:val="en-US" w:eastAsia="zh-CN"/>
        </w:rPr>
        <w:t>第</w:t>
      </w:r>
      <w:r>
        <w:rPr>
          <w:rFonts w:hint="eastAsia" w:cs="宋体"/>
          <w:bCs w:val="0"/>
          <w:szCs w:val="32"/>
          <w:lang w:val="en-US" w:eastAsia="zh-CN"/>
        </w:rPr>
        <w:t>七</w:t>
      </w:r>
      <w:r>
        <w:rPr>
          <w:rFonts w:hint="eastAsia" w:ascii="宋体" w:hAnsi="宋体" w:eastAsia="宋体" w:cs="宋体"/>
          <w:bCs w:val="0"/>
          <w:szCs w:val="32"/>
          <w:lang w:val="en-US" w:eastAsia="zh-CN"/>
        </w:rPr>
        <w:t>章  结论</w:t>
      </w:r>
      <w:r>
        <w:rPr>
          <w:rFonts w:hint="eastAsia" w:cs="宋体"/>
          <w:bCs w:val="0"/>
          <w:szCs w:val="32"/>
          <w:lang w:val="en-US" w:eastAsia="zh-CN"/>
        </w:rPr>
        <w:t>及建议</w:t>
      </w:r>
      <w:r>
        <w:tab/>
      </w:r>
      <w:r>
        <w:fldChar w:fldCharType="begin"/>
      </w:r>
      <w:r>
        <w:instrText xml:space="preserve"> PAGEREF _Toc1385 \h </w:instrText>
      </w:r>
      <w:r>
        <w:fldChar w:fldCharType="separate"/>
      </w:r>
      <w:r>
        <w:t>16</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_Toc10200 </w:instrText>
      </w:r>
      <w:r>
        <w:rPr>
          <w:rFonts w:hint="eastAsia" w:ascii="宋体" w:hAnsi="宋体" w:eastAsia="宋体" w:cs="宋体"/>
          <w:bCs/>
          <w:szCs w:val="28"/>
          <w:highlight w:val="none"/>
          <w:lang w:val="zh-CN"/>
        </w:rPr>
        <w:fldChar w:fldCharType="separate"/>
      </w:r>
      <w:r>
        <w:rPr>
          <w:rFonts w:hint="eastAsia" w:ascii="宋体" w:hAnsi="宋体" w:eastAsia="宋体" w:cs="宋体"/>
          <w:bCs w:val="0"/>
          <w:szCs w:val="30"/>
          <w:lang w:val="en-US" w:eastAsia="zh-CN"/>
        </w:rPr>
        <w:t>一、论证结论</w:t>
      </w:r>
      <w:r>
        <w:tab/>
      </w:r>
      <w:r>
        <w:fldChar w:fldCharType="begin"/>
      </w:r>
      <w:r>
        <w:instrText xml:space="preserve"> PAGEREF _Toc10200 \h </w:instrText>
      </w:r>
      <w:r>
        <w:fldChar w:fldCharType="separate"/>
      </w:r>
      <w:r>
        <w:t>16</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_Toc28869 </w:instrText>
      </w:r>
      <w:r>
        <w:rPr>
          <w:rFonts w:hint="eastAsia" w:ascii="宋体" w:hAnsi="宋体" w:eastAsia="宋体" w:cs="宋体"/>
          <w:bCs/>
          <w:szCs w:val="28"/>
          <w:highlight w:val="none"/>
          <w:lang w:val="zh-CN"/>
        </w:rPr>
        <w:fldChar w:fldCharType="separate"/>
      </w:r>
      <w:r>
        <w:rPr>
          <w:rFonts w:hint="eastAsia" w:ascii="宋体" w:hAnsi="宋体" w:eastAsia="宋体" w:cs="宋体"/>
          <w:bCs w:val="0"/>
          <w:szCs w:val="30"/>
          <w:lang w:val="en-US" w:eastAsia="zh-CN"/>
        </w:rPr>
        <w:t>二、建议及要求</w:t>
      </w:r>
      <w:r>
        <w:tab/>
      </w:r>
      <w:r>
        <w:fldChar w:fldCharType="begin"/>
      </w:r>
      <w:r>
        <w:instrText xml:space="preserve"> PAGEREF _Toc28869 \h </w:instrText>
      </w:r>
      <w:r>
        <w:fldChar w:fldCharType="separate"/>
      </w:r>
      <w:r>
        <w:t>16</w:t>
      </w:r>
      <w:r>
        <w:fldChar w:fldCharType="end"/>
      </w:r>
      <w:r>
        <w:rPr>
          <w:rFonts w:hint="eastAsia" w:ascii="宋体" w:hAnsi="宋体" w:eastAsia="宋体" w:cs="宋体"/>
          <w:bCs/>
          <w:szCs w:val="28"/>
          <w:highlight w:val="none"/>
          <w:u w:val="none" w:color="auto"/>
          <w:lang w:val="zh-CN"/>
        </w:rPr>
        <w:fldChar w:fldCharType="end"/>
      </w:r>
    </w:p>
    <w:p>
      <w:pPr>
        <w:pStyle w:val="13"/>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_Toc10620 </w:instrText>
      </w:r>
      <w:r>
        <w:rPr>
          <w:rFonts w:hint="eastAsia" w:ascii="宋体" w:hAnsi="宋体" w:eastAsia="宋体" w:cs="宋体"/>
          <w:bCs/>
          <w:szCs w:val="28"/>
          <w:highlight w:val="none"/>
          <w:lang w:val="zh-CN"/>
        </w:rPr>
        <w:fldChar w:fldCharType="separate"/>
      </w:r>
      <w:r>
        <w:rPr>
          <w:rFonts w:hint="eastAsia" w:ascii="宋体" w:hAnsi="宋体" w:eastAsia="宋体" w:cs="宋体"/>
          <w:bCs w:val="0"/>
          <w:szCs w:val="32"/>
          <w:lang w:val="en-US" w:eastAsia="zh-CN"/>
        </w:rPr>
        <w:t>附件</w:t>
      </w:r>
      <w:r>
        <w:tab/>
      </w:r>
      <w:r>
        <w:fldChar w:fldCharType="begin"/>
      </w:r>
      <w:r>
        <w:instrText xml:space="preserve"> PAGEREF _Toc10620 \h </w:instrText>
      </w:r>
      <w:r>
        <w:fldChar w:fldCharType="separate"/>
      </w:r>
      <w:r>
        <w:t>18</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_Toc6222 </w:instrText>
      </w:r>
      <w:r>
        <w:rPr>
          <w:rFonts w:hint="eastAsia" w:ascii="宋体" w:hAnsi="宋体" w:eastAsia="宋体" w:cs="宋体"/>
          <w:bCs/>
          <w:szCs w:val="28"/>
          <w:highlight w:val="none"/>
          <w:lang w:val="zh-CN"/>
        </w:rPr>
        <w:fldChar w:fldCharType="separate"/>
      </w:r>
      <w:r>
        <w:rPr>
          <w:rFonts w:hint="eastAsia" w:ascii="宋体" w:hAnsi="宋体" w:eastAsia="宋体" w:cs="宋体"/>
          <w:bCs w:val="0"/>
          <w:kern w:val="2"/>
          <w:szCs w:val="30"/>
          <w:lang w:val="en-US" w:eastAsia="zh-CN" w:bidi="ar-SA"/>
        </w:rPr>
        <w:t>1.</w:t>
      </w:r>
      <w:r>
        <w:rPr>
          <w:rFonts w:hint="eastAsia" w:ascii="宋体" w:hAnsi="宋体" w:eastAsia="宋体" w:cs="宋体"/>
          <w:bCs w:val="0"/>
          <w:szCs w:val="30"/>
          <w:lang w:val="en-US" w:eastAsia="zh-CN"/>
        </w:rPr>
        <w:t>《夏县人民政府常务会议纪要关于研究商业总公司关于饮食服务公司恒利家俱城拆除重建的情况报告》</w:t>
      </w:r>
      <w:r>
        <w:tab/>
      </w:r>
      <w:r>
        <w:fldChar w:fldCharType="begin"/>
      </w:r>
      <w:r>
        <w:instrText xml:space="preserve"> PAGEREF _Toc6222 \h </w:instrText>
      </w:r>
      <w:r>
        <w:fldChar w:fldCharType="separate"/>
      </w:r>
      <w:r>
        <w:t>19</w:t>
      </w:r>
      <w:r>
        <w:fldChar w:fldCharType="end"/>
      </w:r>
      <w:r>
        <w:rPr>
          <w:rFonts w:hint="eastAsia" w:ascii="宋体" w:hAnsi="宋体" w:eastAsia="宋体" w:cs="宋体"/>
          <w:bCs/>
          <w:szCs w:val="28"/>
          <w:highlight w:val="none"/>
          <w:u w:val="none" w:color="auto"/>
          <w:lang w:val="zh-CN"/>
        </w:rPr>
        <w:fldChar w:fldCharType="end"/>
      </w:r>
    </w:p>
    <w:p>
      <w:pPr>
        <w:pStyle w:val="14"/>
        <w:tabs>
          <w:tab w:val="right" w:leader="dot" w:pos="8504"/>
        </w:tabs>
      </w:pPr>
      <w:r>
        <w:rPr>
          <w:rFonts w:hint="eastAsia" w:ascii="宋体" w:hAnsi="宋体" w:eastAsia="宋体" w:cs="宋体"/>
          <w:bCs/>
          <w:szCs w:val="28"/>
          <w:highlight w:val="none"/>
          <w:u w:val="none" w:color="auto"/>
          <w:lang w:val="zh-CN"/>
        </w:rPr>
        <w:fldChar w:fldCharType="begin"/>
      </w:r>
      <w:r>
        <w:rPr>
          <w:rFonts w:hint="eastAsia" w:ascii="宋体" w:hAnsi="宋体" w:eastAsia="宋体" w:cs="宋体"/>
          <w:bCs/>
          <w:szCs w:val="28"/>
          <w:highlight w:val="none"/>
          <w:lang w:val="zh-CN"/>
        </w:rPr>
        <w:instrText xml:space="preserve"> HYPERLINK \l _Toc22364 </w:instrText>
      </w:r>
      <w:r>
        <w:rPr>
          <w:rFonts w:hint="eastAsia" w:ascii="宋体" w:hAnsi="宋体" w:eastAsia="宋体" w:cs="宋体"/>
          <w:bCs/>
          <w:szCs w:val="28"/>
          <w:highlight w:val="none"/>
          <w:lang w:val="zh-CN"/>
        </w:rPr>
        <w:fldChar w:fldCharType="separate"/>
      </w:r>
      <w:r>
        <w:rPr>
          <w:rFonts w:hint="eastAsia" w:cs="宋体"/>
          <w:bCs w:val="0"/>
          <w:kern w:val="2"/>
          <w:szCs w:val="30"/>
          <w:lang w:val="en-US" w:eastAsia="zh-CN" w:bidi="ar-SA"/>
        </w:rPr>
        <w:t>2.</w:t>
      </w:r>
      <w:r>
        <w:rPr>
          <w:rFonts w:hint="eastAsia" w:ascii="宋体" w:hAnsi="宋体" w:eastAsia="宋体" w:cs="宋体"/>
          <w:bCs w:val="0"/>
          <w:szCs w:val="30"/>
          <w:lang w:val="en-US" w:eastAsia="zh-CN"/>
        </w:rPr>
        <w:t>饮食服务公司</w:t>
      </w:r>
      <w:r>
        <w:rPr>
          <w:rFonts w:hint="eastAsia" w:cs="宋体"/>
          <w:bCs w:val="0"/>
          <w:szCs w:val="30"/>
          <w:lang w:val="en-US" w:eastAsia="zh-CN"/>
        </w:rPr>
        <w:t>土地证</w:t>
      </w:r>
      <w:r>
        <w:tab/>
      </w:r>
      <w:r>
        <w:fldChar w:fldCharType="begin"/>
      </w:r>
      <w:r>
        <w:instrText xml:space="preserve"> PAGEREF _Toc22364 \h </w:instrText>
      </w:r>
      <w:r>
        <w:fldChar w:fldCharType="separate"/>
      </w:r>
      <w:r>
        <w:t>21</w:t>
      </w:r>
      <w:r>
        <w:fldChar w:fldCharType="end"/>
      </w:r>
      <w:r>
        <w:rPr>
          <w:rFonts w:hint="eastAsia" w:ascii="宋体" w:hAnsi="宋体" w:eastAsia="宋体" w:cs="宋体"/>
          <w:bCs/>
          <w:szCs w:val="28"/>
          <w:highlight w:val="none"/>
          <w:u w:val="none" w:color="auto"/>
          <w:lang w:val="zh-CN"/>
        </w:rPr>
        <w:fldChar w:fldCharType="end"/>
      </w:r>
    </w:p>
    <w:p>
      <w:pPr>
        <w:keepNext w:val="0"/>
        <w:keepLines w:val="0"/>
        <w:pageBreakBefore w:val="0"/>
        <w:widowControl w:val="0"/>
        <w:tabs>
          <w:tab w:val="right" w:leader="dot" w:pos="8296"/>
        </w:tabs>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ascii="宋体" w:hAnsi="宋体" w:eastAsia="宋体" w:cs="宋体"/>
          <w:sz w:val="36"/>
          <w:szCs w:val="36"/>
          <w:highlight w:val="none"/>
          <w:u w:val="none" w:color="auto"/>
        </w:rPr>
        <w:sectPr>
          <w:headerReference r:id="rId7" w:type="default"/>
          <w:footerReference r:id="rId8" w:type="default"/>
          <w:pgSz w:w="11906" w:h="16838"/>
          <w:pgMar w:top="1440" w:right="1701" w:bottom="1440" w:left="1701" w:header="851" w:footer="992" w:gutter="0"/>
          <w:pgNumType w:fmt="decimal" w:start="1"/>
          <w:cols w:space="425" w:num="1"/>
          <w:docGrid w:type="lines" w:linePitch="326" w:charSpace="0"/>
        </w:sectPr>
      </w:pPr>
      <w:r>
        <w:rPr>
          <w:rFonts w:hint="eastAsia" w:ascii="宋体" w:hAnsi="宋体" w:eastAsia="宋体" w:cs="宋体"/>
          <w:bCs/>
          <w:szCs w:val="28"/>
          <w:highlight w:val="none"/>
          <w:u w:val="none" w:color="auto"/>
          <w:lang w:val="zh-CN"/>
        </w:rPr>
        <w:fldChar w:fldCharType="end"/>
      </w:r>
    </w:p>
    <w:p>
      <w:pPr>
        <w:keepNext w:val="0"/>
        <w:keepLines w:val="0"/>
        <w:pageBreakBefore w:val="0"/>
        <w:widowControl w:val="0"/>
        <w:kinsoku/>
        <w:wordWrap/>
        <w:overflowPunct/>
        <w:topLinePunct w:val="0"/>
        <w:autoSpaceDE/>
        <w:autoSpaceDN/>
        <w:bidi w:val="0"/>
        <w:adjustRightInd/>
        <w:snapToGrid/>
        <w:spacing w:line="540" w:lineRule="exact"/>
        <w:ind w:firstLine="1285" w:firstLineChars="400"/>
        <w:jc w:val="center"/>
        <w:textAlignment w:val="auto"/>
        <w:outlineLvl w:val="9"/>
        <w:rPr>
          <w:rFonts w:hint="eastAsia" w:ascii="宋体" w:hAnsi="宋体" w:eastAsia="宋体" w:cs="宋体"/>
          <w:b/>
          <w:color w:val="000000"/>
          <w:sz w:val="32"/>
          <w:szCs w:val="32"/>
          <w:highlight w:val="none"/>
          <w:u w:val="none" w:color="auto"/>
          <w:lang w:eastAsia="zh-CN"/>
        </w:rPr>
      </w:pPr>
      <w:bookmarkStart w:id="7" w:name="_Toc9763"/>
      <w:r>
        <w:rPr>
          <w:rFonts w:hint="eastAsia" w:ascii="宋体" w:hAnsi="宋体" w:eastAsia="宋体" w:cs="宋体"/>
          <w:b/>
          <w:color w:val="000000"/>
          <w:sz w:val="32"/>
          <w:szCs w:val="32"/>
          <w:highlight w:val="none"/>
          <w:u w:val="none" w:color="auto"/>
          <w:lang w:eastAsia="zh-CN"/>
        </w:rPr>
        <w:t>图纸目录</w:t>
      </w:r>
    </w:p>
    <w:p>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color w:val="000000"/>
          <w:sz w:val="32"/>
          <w:szCs w:val="32"/>
          <w:highlight w:val="none"/>
          <w:u w:val="none" w:color="auto"/>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val="0"/>
          <w:bCs/>
          <w:color w:val="000000"/>
          <w:sz w:val="30"/>
          <w:szCs w:val="30"/>
          <w:highlight w:val="none"/>
          <w:u w:val="none" w:color="auto"/>
          <w:lang w:val="en-US" w:eastAsia="zh-CN"/>
        </w:rPr>
      </w:pPr>
      <w:r>
        <w:rPr>
          <w:rFonts w:hint="eastAsia" w:cs="宋体"/>
          <w:b w:val="0"/>
          <w:bCs/>
          <w:color w:val="000000"/>
          <w:sz w:val="30"/>
          <w:szCs w:val="30"/>
          <w:highlight w:val="none"/>
          <w:u w:val="none" w:color="auto"/>
          <w:lang w:val="en-US" w:eastAsia="zh-CN"/>
        </w:rPr>
        <w:t>区域位置</w:t>
      </w:r>
      <w:r>
        <w:rPr>
          <w:rFonts w:hint="eastAsia" w:ascii="宋体" w:hAnsi="宋体" w:eastAsia="宋体" w:cs="宋体"/>
          <w:b w:val="0"/>
          <w:bCs/>
          <w:color w:val="000000"/>
          <w:sz w:val="30"/>
          <w:szCs w:val="30"/>
          <w:highlight w:val="none"/>
          <w:u w:val="none" w:color="auto"/>
          <w:lang w:val="en-US" w:eastAsia="zh-CN"/>
        </w:rPr>
        <w:t>图</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val="0"/>
          <w:bCs/>
          <w:color w:val="000000"/>
          <w:sz w:val="30"/>
          <w:szCs w:val="30"/>
          <w:highlight w:val="none"/>
          <w:u w:val="none" w:color="auto"/>
          <w:lang w:val="en-US" w:eastAsia="zh-CN"/>
        </w:rPr>
      </w:pPr>
      <w:r>
        <w:rPr>
          <w:rFonts w:hint="eastAsia" w:cs="宋体"/>
          <w:b w:val="0"/>
          <w:bCs/>
          <w:color w:val="000000"/>
          <w:sz w:val="30"/>
          <w:szCs w:val="30"/>
          <w:highlight w:val="none"/>
          <w:u w:val="none" w:color="auto"/>
          <w:lang w:val="en-US" w:eastAsia="zh-CN"/>
        </w:rPr>
        <w:t>周边关系</w:t>
      </w:r>
      <w:r>
        <w:rPr>
          <w:rFonts w:hint="eastAsia" w:ascii="宋体" w:hAnsi="宋体" w:eastAsia="宋体" w:cs="宋体"/>
          <w:b w:val="0"/>
          <w:bCs/>
          <w:color w:val="000000"/>
          <w:sz w:val="30"/>
          <w:szCs w:val="30"/>
          <w:highlight w:val="none"/>
          <w:u w:val="none" w:color="auto"/>
          <w:lang w:val="en-US" w:eastAsia="zh-CN"/>
        </w:rPr>
        <w:t>图</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val="0"/>
          <w:bCs/>
          <w:color w:val="000000"/>
          <w:sz w:val="30"/>
          <w:szCs w:val="30"/>
          <w:highlight w:val="none"/>
          <w:u w:val="none" w:color="auto"/>
          <w:lang w:val="en-US" w:eastAsia="zh-CN"/>
        </w:rPr>
      </w:pPr>
      <w:r>
        <w:rPr>
          <w:rFonts w:hint="eastAsia" w:ascii="宋体" w:hAnsi="宋体" w:eastAsia="宋体" w:cs="宋体"/>
          <w:b w:val="0"/>
          <w:bCs/>
          <w:color w:val="000000"/>
          <w:sz w:val="30"/>
          <w:szCs w:val="30"/>
          <w:highlight w:val="none"/>
          <w:u w:val="none" w:color="auto"/>
          <w:lang w:val="en-US" w:eastAsia="zh-CN"/>
        </w:rPr>
        <w:t>现状地形图</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val="0"/>
          <w:bCs/>
          <w:color w:val="000000"/>
          <w:sz w:val="30"/>
          <w:szCs w:val="30"/>
          <w:highlight w:val="none"/>
          <w:u w:val="none" w:color="auto"/>
          <w:lang w:val="en-US" w:eastAsia="zh-CN"/>
        </w:rPr>
      </w:pPr>
      <w:r>
        <w:rPr>
          <w:rFonts w:hint="eastAsia" w:ascii="宋体" w:hAnsi="宋体" w:eastAsia="宋体" w:cs="宋体"/>
          <w:b w:val="0"/>
          <w:bCs/>
          <w:color w:val="000000"/>
          <w:sz w:val="30"/>
          <w:szCs w:val="30"/>
          <w:highlight w:val="none"/>
          <w:u w:val="none" w:color="auto"/>
          <w:lang w:val="en-US" w:eastAsia="zh-CN"/>
        </w:rPr>
        <w:t>项目用地在《夏县中心城区控制性详细规划》的位置图</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val="0"/>
          <w:bCs/>
          <w:color w:val="000000"/>
          <w:sz w:val="30"/>
          <w:szCs w:val="30"/>
          <w:highlight w:val="none"/>
          <w:u w:val="none" w:color="auto"/>
          <w:lang w:val="en-US" w:eastAsia="zh-CN"/>
        </w:rPr>
      </w:pPr>
      <w:r>
        <w:rPr>
          <w:rFonts w:hint="eastAsia" w:ascii="宋体" w:hAnsi="宋体" w:eastAsia="宋体" w:cs="宋体"/>
          <w:b w:val="0"/>
          <w:bCs/>
          <w:color w:val="000000"/>
          <w:sz w:val="30"/>
          <w:szCs w:val="30"/>
          <w:highlight w:val="none"/>
          <w:u w:val="none" w:color="auto"/>
          <w:lang w:val="en-US" w:eastAsia="zh-CN"/>
        </w:rPr>
        <w:t>项目用地在《运城市夏县国土空间总体规划》的位置图</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val="0"/>
          <w:bCs/>
          <w:color w:val="000000"/>
          <w:sz w:val="30"/>
          <w:szCs w:val="30"/>
          <w:highlight w:val="none"/>
          <w:u w:val="none" w:color="auto"/>
          <w:lang w:val="en-US" w:eastAsia="zh-CN"/>
        </w:rPr>
      </w:pPr>
      <w:r>
        <w:rPr>
          <w:rFonts w:hint="eastAsia" w:cs="宋体"/>
          <w:b w:val="0"/>
          <w:bCs/>
          <w:color w:val="000000"/>
          <w:sz w:val="30"/>
          <w:szCs w:val="30"/>
          <w:highlight w:val="none"/>
          <w:u w:val="none" w:color="auto"/>
          <w:lang w:val="en-US" w:eastAsia="zh-CN"/>
        </w:rPr>
        <w:t>项目用地布局前后对比图</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val="0"/>
          <w:bCs/>
          <w:color w:val="000000"/>
          <w:sz w:val="30"/>
          <w:szCs w:val="30"/>
          <w:highlight w:val="none"/>
          <w:u w:val="none" w:color="auto"/>
          <w:lang w:val="en-US" w:eastAsia="zh-CN"/>
        </w:rPr>
      </w:pPr>
      <w:r>
        <w:rPr>
          <w:rFonts w:hint="eastAsia" w:cs="宋体"/>
          <w:b w:val="0"/>
          <w:bCs/>
          <w:color w:val="000000"/>
          <w:sz w:val="30"/>
          <w:szCs w:val="30"/>
          <w:highlight w:val="none"/>
          <w:u w:val="none" w:color="auto"/>
          <w:lang w:val="en-US" w:eastAsia="zh-CN"/>
        </w:rPr>
        <w:t>修改前控规图则</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val="0"/>
          <w:bCs/>
          <w:color w:val="000000"/>
          <w:sz w:val="30"/>
          <w:szCs w:val="30"/>
          <w:highlight w:val="none"/>
          <w:u w:val="none" w:color="auto"/>
          <w:lang w:val="en-US" w:eastAsia="zh-CN"/>
        </w:rPr>
      </w:pPr>
      <w:r>
        <w:rPr>
          <w:rFonts w:hint="eastAsia" w:cs="宋体"/>
          <w:b w:val="0"/>
          <w:bCs/>
          <w:color w:val="000000"/>
          <w:sz w:val="30"/>
          <w:szCs w:val="30"/>
          <w:highlight w:val="none"/>
          <w:u w:val="none" w:color="auto"/>
          <w:lang w:val="en-US" w:eastAsia="zh-CN"/>
        </w:rPr>
        <w:t>修改后控规图则</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left"/>
        <w:textAlignment w:val="auto"/>
        <w:outlineLvl w:val="9"/>
        <w:rPr>
          <w:rFonts w:hint="eastAsia" w:ascii="宋体" w:hAnsi="宋体" w:eastAsia="宋体" w:cs="宋体"/>
          <w:b w:val="0"/>
          <w:bCs/>
          <w:color w:val="000000"/>
          <w:sz w:val="30"/>
          <w:szCs w:val="30"/>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宋体"/>
          <w:b/>
          <w:color w:val="000000"/>
          <w:sz w:val="32"/>
          <w:szCs w:val="32"/>
          <w:highlight w:val="none"/>
          <w:u w:val="none" w:color="auto"/>
        </w:rPr>
      </w:pPr>
    </w:p>
    <w:bookmarkEnd w:id="7"/>
    <w:p>
      <w:pPr>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sectPr>
          <w:footerReference r:id="rId9" w:type="default"/>
          <w:pgSz w:w="11906" w:h="16838"/>
          <w:pgMar w:top="1440" w:right="1701" w:bottom="1440" w:left="1701" w:header="851" w:footer="992" w:gutter="0"/>
          <w:pgNumType w:fmt="decimal" w:start="1"/>
          <w:cols w:space="425" w:num="1"/>
          <w:docGrid w:type="lines" w:linePitch="326" w:charSpace="0"/>
        </w:sectPr>
      </w:pPr>
    </w:p>
    <w:p>
      <w:pPr>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6"/>
          <w:szCs w:val="36"/>
        </w:rPr>
      </w:pPr>
      <w:bookmarkStart w:id="8" w:name="_Toc13326"/>
      <w:r>
        <w:rPr>
          <w:rFonts w:hint="eastAsia" w:ascii="宋体" w:hAnsi="宋体" w:eastAsia="宋体" w:cs="宋体"/>
          <w:b/>
          <w:color w:val="000000"/>
          <w:sz w:val="36"/>
          <w:szCs w:val="36"/>
        </w:rPr>
        <w:t>第一章   项目概况</w:t>
      </w:r>
      <w:bookmarkEnd w:id="8"/>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cs="宋体"/>
          <w:b/>
          <w:bCs w:val="0"/>
          <w:sz w:val="30"/>
          <w:szCs w:val="30"/>
          <w:lang w:val="en-US" w:eastAsia="zh-CN"/>
        </w:rPr>
      </w:pPr>
      <w:bookmarkStart w:id="9" w:name="_Toc12218"/>
      <w:bookmarkStart w:id="10" w:name="_Toc20843"/>
      <w:r>
        <w:rPr>
          <w:rFonts w:hint="eastAsia" w:cs="宋体"/>
          <w:b/>
          <w:bCs w:val="0"/>
          <w:sz w:val="30"/>
          <w:szCs w:val="30"/>
          <w:lang w:val="en-US" w:eastAsia="zh-CN"/>
        </w:rPr>
        <w:t>一、规划背景</w:t>
      </w:r>
      <w:bookmarkEnd w:id="9"/>
      <w:bookmarkEnd w:id="10"/>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ascii="宋体" w:hAnsi="宋体" w:cs="宋体"/>
          <w:bCs/>
          <w:color w:val="000000"/>
          <w:spacing w:val="10"/>
          <w:sz w:val="28"/>
          <w:szCs w:val="28"/>
          <w:highlight w:val="none"/>
          <w:lang w:val="en-US" w:eastAsia="zh-CN"/>
        </w:rPr>
        <w:t>地块位于</w:t>
      </w:r>
      <w:r>
        <w:rPr>
          <w:rFonts w:hint="eastAsia" w:cs="宋体"/>
          <w:bCs/>
          <w:color w:val="000000"/>
          <w:spacing w:val="10"/>
          <w:sz w:val="28"/>
          <w:szCs w:val="28"/>
          <w:highlight w:val="none"/>
          <w:lang w:val="en-US" w:eastAsia="zh-CN"/>
        </w:rPr>
        <w:t>夏县县城中心城区</w:t>
      </w:r>
      <w:r>
        <w:rPr>
          <w:rFonts w:hint="eastAsia" w:ascii="宋体" w:hAnsi="宋体" w:cs="宋体"/>
          <w:bCs/>
          <w:color w:val="000000"/>
          <w:spacing w:val="10"/>
          <w:sz w:val="28"/>
          <w:szCs w:val="28"/>
          <w:highlight w:val="none"/>
          <w:lang w:val="en-US" w:eastAsia="zh-CN"/>
        </w:rPr>
        <w:t>，</w:t>
      </w:r>
      <w:r>
        <w:rPr>
          <w:rFonts w:hint="eastAsia" w:cs="宋体"/>
          <w:bCs/>
          <w:color w:val="000000"/>
          <w:spacing w:val="10"/>
          <w:sz w:val="28"/>
          <w:szCs w:val="28"/>
          <w:highlight w:val="none"/>
          <w:lang w:val="en-US" w:eastAsia="zh-CN"/>
        </w:rPr>
        <w:t>新建北路与六门巷东南角</w:t>
      </w:r>
      <w:r>
        <w:rPr>
          <w:rFonts w:hint="eastAsia" w:ascii="宋体" w:hAnsi="宋体" w:cs="宋体"/>
          <w:bCs/>
          <w:color w:val="000000"/>
          <w:spacing w:val="10"/>
          <w:sz w:val="28"/>
          <w:szCs w:val="28"/>
          <w:highlight w:val="none"/>
          <w:lang w:val="en-US" w:eastAsia="zh-CN"/>
        </w:rPr>
        <w:t>。位于《夏县中心城区</w:t>
      </w:r>
      <w:r>
        <w:rPr>
          <w:rFonts w:hint="eastAsia" w:cs="宋体"/>
          <w:bCs/>
          <w:color w:val="000000"/>
          <w:spacing w:val="10"/>
          <w:sz w:val="28"/>
          <w:szCs w:val="28"/>
          <w:highlight w:val="none"/>
          <w:lang w:val="en-US" w:eastAsia="zh-CN"/>
        </w:rPr>
        <w:t>控制性</w:t>
      </w:r>
      <w:r>
        <w:rPr>
          <w:rFonts w:hint="eastAsia" w:ascii="宋体" w:hAnsi="宋体" w:cs="宋体"/>
          <w:bCs/>
          <w:color w:val="000000"/>
          <w:spacing w:val="10"/>
          <w:sz w:val="28"/>
          <w:szCs w:val="28"/>
          <w:highlight w:val="none"/>
          <w:lang w:val="en-US" w:eastAsia="zh-CN"/>
        </w:rPr>
        <w:t>详细规划》</w:t>
      </w:r>
      <w:r>
        <w:rPr>
          <w:rFonts w:hint="eastAsia" w:cs="宋体"/>
          <w:bCs/>
          <w:color w:val="000000"/>
          <w:spacing w:val="10"/>
          <w:sz w:val="28"/>
          <w:szCs w:val="28"/>
          <w:highlight w:val="none"/>
          <w:lang w:val="en-US" w:eastAsia="zh-CN"/>
        </w:rPr>
        <w:t>（以下简称中心城区控规）</w:t>
      </w:r>
      <w:r>
        <w:rPr>
          <w:rFonts w:hint="eastAsia" w:ascii="宋体" w:hAnsi="宋体" w:cs="宋体"/>
          <w:bCs/>
          <w:color w:val="000000"/>
          <w:spacing w:val="10"/>
          <w:sz w:val="28"/>
          <w:szCs w:val="28"/>
          <w:highlight w:val="none"/>
          <w:lang w:val="en-US" w:eastAsia="zh-CN"/>
        </w:rPr>
        <w:t>中的</w:t>
      </w:r>
      <w:r>
        <w:rPr>
          <w:rFonts w:hint="eastAsia" w:cs="宋体"/>
          <w:bCs/>
          <w:color w:val="000000"/>
          <w:spacing w:val="10"/>
          <w:sz w:val="28"/>
          <w:szCs w:val="28"/>
          <w:highlight w:val="none"/>
          <w:lang w:val="en-US" w:eastAsia="zh-CN"/>
        </w:rPr>
        <w:t>A-08片区，是其中的A-08-02地块</w:t>
      </w:r>
      <w:r>
        <w:rPr>
          <w:rFonts w:hint="eastAsia" w:ascii="宋体" w:hAnsi="宋体" w:cs="宋体"/>
          <w:bCs/>
          <w:color w:val="000000"/>
          <w:spacing w:val="10"/>
          <w:sz w:val="28"/>
          <w:szCs w:val="28"/>
          <w:highlight w:val="none"/>
          <w:lang w:val="en-US" w:eastAsia="zh-CN"/>
        </w:rPr>
        <w:t>，在</w:t>
      </w:r>
      <w:r>
        <w:rPr>
          <w:rFonts w:hint="eastAsia" w:cs="宋体"/>
          <w:bCs/>
          <w:color w:val="000000"/>
          <w:spacing w:val="10"/>
          <w:sz w:val="28"/>
          <w:szCs w:val="28"/>
          <w:highlight w:val="none"/>
          <w:lang w:val="en-US" w:eastAsia="zh-CN"/>
        </w:rPr>
        <w:t>中心城区控规</w:t>
      </w:r>
      <w:r>
        <w:rPr>
          <w:rFonts w:hint="eastAsia" w:ascii="宋体" w:hAnsi="宋体" w:cs="宋体"/>
          <w:bCs/>
          <w:color w:val="000000"/>
          <w:spacing w:val="10"/>
          <w:sz w:val="28"/>
          <w:szCs w:val="28"/>
          <w:highlight w:val="none"/>
          <w:lang w:val="en-US" w:eastAsia="zh-CN"/>
        </w:rPr>
        <w:t>中</w:t>
      </w:r>
      <w:r>
        <w:rPr>
          <w:rFonts w:hint="eastAsia" w:cs="宋体"/>
          <w:bCs/>
          <w:color w:val="000000"/>
          <w:spacing w:val="10"/>
          <w:sz w:val="28"/>
          <w:szCs w:val="28"/>
          <w:highlight w:val="none"/>
          <w:lang w:val="en-US" w:eastAsia="zh-CN"/>
        </w:rPr>
        <w:t>A-08-02</w:t>
      </w:r>
      <w:r>
        <w:rPr>
          <w:rFonts w:hint="eastAsia" w:ascii="宋体" w:hAnsi="宋体" w:cs="宋体"/>
          <w:bCs/>
          <w:color w:val="000000"/>
          <w:spacing w:val="10"/>
          <w:sz w:val="28"/>
          <w:szCs w:val="28"/>
          <w:highlight w:val="none"/>
          <w:lang w:val="en-US" w:eastAsia="zh-CN"/>
        </w:rPr>
        <w:t>用地性质</w:t>
      </w:r>
      <w:r>
        <w:rPr>
          <w:rFonts w:hint="eastAsia" w:cs="宋体"/>
          <w:bCs/>
          <w:color w:val="000000"/>
          <w:spacing w:val="10"/>
          <w:sz w:val="28"/>
          <w:szCs w:val="28"/>
          <w:highlight w:val="none"/>
          <w:lang w:val="en-US" w:eastAsia="zh-CN"/>
        </w:rPr>
        <w:t>为零售商业用地（B11）</w:t>
      </w:r>
      <w:r>
        <w:rPr>
          <w:rFonts w:hint="eastAsia" w:ascii="宋体" w:hAnsi="宋体" w:cs="宋体"/>
          <w:bCs/>
          <w:color w:val="000000"/>
          <w:spacing w:val="1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该地块南侧部分原建设为饮食服务公司恒利家俱城，因建设时间久远，安全性等级为C级，存在较大安全隐患，目前已被拆除。地块重建要符合夏县中心城区的发展需求，并且要满足商业营收目标，因此需要对其规划指标进行调整。</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2024年2月4日，在《夏县人民政府常务会议纪要关于研究商业总公司关于饮食服务公司恒利家俱城拆除重建的情况报告》（2024年2次）中，会议议定：对饮食服务公司恒利家俱城所在地块的控制性详细规划进行依法依规修改，合理确定用地性质及相关技术指标。</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ascii="宋体" w:hAnsi="宋体" w:cs="宋体"/>
          <w:bCs/>
          <w:color w:val="000000"/>
          <w:spacing w:val="10"/>
          <w:sz w:val="28"/>
          <w:szCs w:val="28"/>
          <w:highlight w:val="none"/>
          <w:lang w:val="en-US" w:eastAsia="zh-CN"/>
        </w:rPr>
      </w:pPr>
      <w:r>
        <w:rPr>
          <w:rFonts w:hint="eastAsia" w:cs="宋体"/>
          <w:b/>
          <w:bCs w:val="0"/>
          <w:color w:val="000000"/>
          <w:spacing w:val="10"/>
          <w:sz w:val="28"/>
          <w:szCs w:val="28"/>
          <w:highlight w:val="none"/>
          <w:lang w:val="en-US" w:eastAsia="zh-CN"/>
        </w:rPr>
        <w:t>综上，本次</w:t>
      </w:r>
      <w:r>
        <w:rPr>
          <w:rFonts w:hint="eastAsia" w:ascii="宋体" w:hAnsi="宋体" w:cs="宋体"/>
          <w:b/>
          <w:bCs w:val="0"/>
          <w:color w:val="000000"/>
          <w:spacing w:val="10"/>
          <w:sz w:val="28"/>
          <w:szCs w:val="28"/>
          <w:highlight w:val="none"/>
          <w:lang w:val="en-US" w:eastAsia="zh-CN"/>
        </w:rPr>
        <w:t>调整将</w:t>
      </w:r>
      <w:r>
        <w:rPr>
          <w:rFonts w:hint="eastAsia" w:cs="宋体"/>
          <w:b/>
          <w:bCs w:val="0"/>
          <w:color w:val="000000"/>
          <w:spacing w:val="10"/>
          <w:sz w:val="28"/>
          <w:szCs w:val="28"/>
          <w:highlight w:val="none"/>
          <w:lang w:val="en-US" w:eastAsia="zh-CN"/>
        </w:rPr>
        <w:t>A-08-02</w:t>
      </w:r>
      <w:r>
        <w:rPr>
          <w:rFonts w:hint="eastAsia" w:ascii="宋体" w:hAnsi="宋体" w:cs="宋体"/>
          <w:b/>
          <w:bCs w:val="0"/>
          <w:color w:val="000000"/>
          <w:spacing w:val="10"/>
          <w:sz w:val="28"/>
          <w:szCs w:val="28"/>
          <w:highlight w:val="none"/>
          <w:lang w:val="en-US" w:eastAsia="zh-CN"/>
        </w:rPr>
        <w:t>地块用地</w:t>
      </w:r>
      <w:r>
        <w:rPr>
          <w:rFonts w:hint="eastAsia" w:cs="宋体"/>
          <w:b/>
          <w:bCs w:val="0"/>
          <w:color w:val="000000"/>
          <w:spacing w:val="10"/>
          <w:sz w:val="28"/>
          <w:szCs w:val="28"/>
          <w:highlight w:val="none"/>
          <w:lang w:val="en-US" w:eastAsia="zh-CN"/>
        </w:rPr>
        <w:t>拆分为A-08-02与A-08-07地块，本次采用《国土空间调查、规划、用途管制用地用海分类指南》（2023年）对其编号，两个地块用地性质不变，其中A-08-02地块仅发生面积变化，A-08-07地块规划指标发生改变。</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从实际出发，提升地块未来发展空间，需对</w:t>
      </w:r>
      <w:r>
        <w:rPr>
          <w:rFonts w:hint="eastAsia" w:ascii="宋体" w:hAnsi="宋体" w:cs="宋体"/>
          <w:bCs/>
          <w:color w:val="000000"/>
          <w:spacing w:val="10"/>
          <w:sz w:val="28"/>
          <w:szCs w:val="28"/>
          <w:highlight w:val="none"/>
          <w:lang w:val="en-US" w:eastAsia="zh-CN"/>
        </w:rPr>
        <w:t>《</w:t>
      </w:r>
      <w:r>
        <w:rPr>
          <w:rFonts w:hint="eastAsia" w:cs="宋体"/>
          <w:bCs/>
          <w:color w:val="000000"/>
          <w:spacing w:val="10"/>
          <w:sz w:val="28"/>
          <w:szCs w:val="28"/>
          <w:highlight w:val="none"/>
          <w:lang w:val="en-US" w:eastAsia="zh-CN"/>
        </w:rPr>
        <w:t>夏</w:t>
      </w:r>
      <w:r>
        <w:rPr>
          <w:rFonts w:hint="eastAsia" w:ascii="宋体" w:hAnsi="宋体" w:cs="宋体"/>
          <w:bCs/>
          <w:color w:val="000000"/>
          <w:spacing w:val="10"/>
          <w:sz w:val="28"/>
          <w:szCs w:val="28"/>
          <w:highlight w:val="none"/>
          <w:lang w:val="en-US" w:eastAsia="zh-CN"/>
        </w:rPr>
        <w:t>县</w:t>
      </w:r>
      <w:r>
        <w:rPr>
          <w:rFonts w:hint="eastAsia" w:cs="宋体"/>
          <w:bCs/>
          <w:color w:val="000000"/>
          <w:spacing w:val="10"/>
          <w:sz w:val="28"/>
          <w:szCs w:val="28"/>
          <w:highlight w:val="none"/>
          <w:lang w:val="en-US" w:eastAsia="zh-CN"/>
        </w:rPr>
        <w:t>中心城区控制性</w:t>
      </w:r>
      <w:r>
        <w:rPr>
          <w:rFonts w:hint="eastAsia" w:ascii="宋体" w:hAnsi="宋体" w:cs="宋体"/>
          <w:bCs/>
          <w:color w:val="000000"/>
          <w:spacing w:val="10"/>
          <w:sz w:val="28"/>
          <w:szCs w:val="28"/>
          <w:highlight w:val="none"/>
          <w:lang w:val="en-US" w:eastAsia="zh-CN"/>
        </w:rPr>
        <w:t>详细规划》</w:t>
      </w:r>
      <w:r>
        <w:rPr>
          <w:rFonts w:hint="eastAsia" w:cs="宋体"/>
          <w:bCs/>
          <w:color w:val="000000"/>
          <w:spacing w:val="10"/>
          <w:sz w:val="28"/>
          <w:szCs w:val="28"/>
          <w:highlight w:val="none"/>
          <w:lang w:val="en-US" w:eastAsia="zh-CN"/>
        </w:rPr>
        <w:t>中的A-08-02地块用地进行优化调整，并提出合理的控制指标，特编制本报告。</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cs="宋体"/>
          <w:b/>
          <w:bCs w:val="0"/>
          <w:sz w:val="30"/>
          <w:szCs w:val="30"/>
          <w:lang w:val="en-US" w:eastAsia="zh-CN"/>
        </w:rPr>
      </w:pPr>
      <w:bookmarkStart w:id="11" w:name="_Toc18757"/>
      <w:bookmarkStart w:id="12" w:name="_Toc5503"/>
      <w:r>
        <w:rPr>
          <w:rFonts w:hint="eastAsia" w:cs="宋体"/>
          <w:b/>
          <w:bCs w:val="0"/>
          <w:sz w:val="30"/>
          <w:szCs w:val="30"/>
          <w:lang w:val="en-US" w:eastAsia="zh-CN"/>
        </w:rPr>
        <w:t>二、项目基本情况</w:t>
      </w:r>
      <w:bookmarkEnd w:id="11"/>
      <w:bookmarkEnd w:id="12"/>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cs="宋体"/>
          <w:b/>
          <w:bCs w:val="0"/>
          <w:sz w:val="28"/>
          <w:szCs w:val="28"/>
          <w:lang w:val="en-US" w:eastAsia="zh-CN"/>
        </w:rPr>
      </w:pPr>
      <w:bookmarkStart w:id="13" w:name="_Toc10962"/>
      <w:bookmarkStart w:id="14" w:name="_Toc25993"/>
      <w:r>
        <w:rPr>
          <w:rFonts w:hint="eastAsia" w:cs="宋体"/>
          <w:b/>
          <w:bCs w:val="0"/>
          <w:sz w:val="28"/>
          <w:szCs w:val="28"/>
          <w:lang w:val="en-US" w:eastAsia="zh-CN"/>
        </w:rPr>
        <w:t>1.</w:t>
      </w:r>
      <w:bookmarkEnd w:id="13"/>
      <w:bookmarkEnd w:id="14"/>
      <w:r>
        <w:rPr>
          <w:rFonts w:hint="eastAsia" w:cs="宋体"/>
          <w:b/>
          <w:bCs w:val="0"/>
          <w:sz w:val="28"/>
          <w:szCs w:val="28"/>
          <w:lang w:val="en-US" w:eastAsia="zh-CN"/>
        </w:rPr>
        <w:t>区位概述</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highlight w:val="none"/>
          <w:lang w:val="en-US" w:eastAsia="zh-CN"/>
        </w:rPr>
      </w:pPr>
      <w:r>
        <w:rPr>
          <w:rFonts w:hint="eastAsia" w:ascii="宋体" w:hAnsi="宋体" w:cs="宋体"/>
          <w:bCs/>
          <w:color w:val="000000"/>
          <w:spacing w:val="10"/>
          <w:sz w:val="28"/>
          <w:szCs w:val="28"/>
          <w:highlight w:val="none"/>
          <w:lang w:val="en-US" w:eastAsia="zh-CN"/>
        </w:rPr>
        <w:t>本次拟修改的</w:t>
      </w:r>
      <w:r>
        <w:rPr>
          <w:rFonts w:hint="eastAsia" w:cs="宋体"/>
          <w:bCs/>
          <w:color w:val="000000"/>
          <w:spacing w:val="10"/>
          <w:sz w:val="28"/>
          <w:szCs w:val="28"/>
          <w:highlight w:val="none"/>
          <w:lang w:val="en-US" w:eastAsia="zh-CN"/>
        </w:rPr>
        <w:t>地块</w:t>
      </w:r>
      <w:r>
        <w:rPr>
          <w:rFonts w:hint="eastAsia" w:ascii="宋体" w:hAnsi="宋体" w:cs="宋体"/>
          <w:bCs/>
          <w:color w:val="000000"/>
          <w:spacing w:val="10"/>
          <w:sz w:val="28"/>
          <w:szCs w:val="28"/>
          <w:highlight w:val="none"/>
          <w:lang w:val="en-US" w:eastAsia="zh-CN"/>
        </w:rPr>
        <w:t>位于</w:t>
      </w:r>
      <w:r>
        <w:rPr>
          <w:rFonts w:hint="eastAsia" w:cs="宋体"/>
          <w:bCs/>
          <w:color w:val="000000"/>
          <w:spacing w:val="10"/>
          <w:sz w:val="28"/>
          <w:szCs w:val="28"/>
          <w:highlight w:val="none"/>
          <w:lang w:val="en-US" w:eastAsia="zh-CN"/>
        </w:rPr>
        <w:t>夏县中心城区中部，新建北路东侧，东风西街北侧，六门巷南侧，解放北路西侧。</w:t>
      </w:r>
      <w:r>
        <w:rPr>
          <w:rFonts w:hint="eastAsia" w:ascii="宋体" w:hAnsi="宋体" w:cs="宋体"/>
          <w:bCs/>
          <w:color w:val="000000"/>
          <w:spacing w:val="10"/>
          <w:sz w:val="28"/>
          <w:szCs w:val="28"/>
          <w:highlight w:val="none"/>
          <w:lang w:val="en-US" w:eastAsia="zh-CN"/>
        </w:rPr>
        <w:t>道路交通便捷，区位优势较好</w:t>
      </w:r>
      <w:r>
        <w:rPr>
          <w:rFonts w:hint="eastAsia" w:cs="宋体"/>
          <w:bCs/>
          <w:color w:val="000000"/>
          <w:spacing w:val="10"/>
          <w:sz w:val="28"/>
          <w:szCs w:val="28"/>
          <w:highlight w:val="none"/>
          <w:lang w:val="en-US" w:eastAsia="zh-CN"/>
        </w:rPr>
        <w:t>。</w:t>
      </w:r>
      <w:bookmarkStart w:id="15" w:name="_Toc8141114"/>
      <w:bookmarkStart w:id="16" w:name="_Toc8140944"/>
      <w:bookmarkStart w:id="17" w:name="_Toc29104"/>
      <w:bookmarkStart w:id="18" w:name="_Toc20679"/>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ascii="宋体" w:hAnsi="宋体" w:cs="宋体"/>
          <w:bCs/>
          <w:color w:val="000000"/>
          <w:spacing w:val="10"/>
          <w:sz w:val="28"/>
          <w:szCs w:val="28"/>
          <w:highlight w:val="none"/>
          <w:lang w:val="en-US" w:eastAsia="zh-CN"/>
        </w:rPr>
        <w:t>本次</w:t>
      </w:r>
      <w:r>
        <w:rPr>
          <w:rFonts w:hint="eastAsia" w:cs="宋体"/>
          <w:bCs/>
          <w:color w:val="000000"/>
          <w:spacing w:val="10"/>
          <w:sz w:val="28"/>
          <w:szCs w:val="28"/>
          <w:highlight w:val="none"/>
          <w:lang w:val="en-US" w:eastAsia="zh-CN"/>
        </w:rPr>
        <w:t>调整</w:t>
      </w:r>
      <w:r>
        <w:rPr>
          <w:rFonts w:hint="eastAsia" w:ascii="宋体" w:hAnsi="宋体" w:cs="宋体"/>
          <w:bCs/>
          <w:color w:val="000000"/>
          <w:spacing w:val="10"/>
          <w:sz w:val="28"/>
          <w:szCs w:val="28"/>
          <w:highlight w:val="none"/>
          <w:lang w:val="en-US" w:eastAsia="zh-CN"/>
        </w:rPr>
        <w:t>的地块属于</w:t>
      </w:r>
      <w:r>
        <w:rPr>
          <w:rFonts w:hint="eastAsia" w:cs="宋体"/>
          <w:bCs/>
          <w:color w:val="000000"/>
          <w:spacing w:val="10"/>
          <w:sz w:val="28"/>
          <w:szCs w:val="28"/>
          <w:highlight w:val="none"/>
          <w:lang w:val="en-US" w:eastAsia="zh-CN"/>
        </w:rPr>
        <w:t>《夏县中心城区控制性详细规划</w:t>
      </w:r>
      <w:r>
        <w:rPr>
          <w:rFonts w:hint="eastAsia" w:ascii="宋体" w:hAnsi="宋体" w:cs="宋体"/>
          <w:bCs/>
          <w:color w:val="000000"/>
          <w:spacing w:val="10"/>
          <w:sz w:val="28"/>
          <w:szCs w:val="28"/>
          <w:highlight w:val="none"/>
          <w:lang w:val="en-US" w:eastAsia="zh-CN"/>
        </w:rPr>
        <w:t>》范围，此次修改规划涉及</w:t>
      </w:r>
      <w:r>
        <w:rPr>
          <w:rFonts w:hint="eastAsia" w:cs="宋体"/>
          <w:bCs/>
          <w:color w:val="000000"/>
          <w:spacing w:val="10"/>
          <w:sz w:val="28"/>
          <w:szCs w:val="28"/>
          <w:highlight w:val="none"/>
          <w:lang w:val="en-US" w:eastAsia="zh-CN"/>
        </w:rPr>
        <w:t>A-08片区中的A-08-02地块</w:t>
      </w:r>
      <w:r>
        <w:rPr>
          <w:rFonts w:hint="eastAsia" w:ascii="宋体" w:hAnsi="宋体" w:cs="宋体"/>
          <w:bCs/>
          <w:color w:val="000000"/>
          <w:spacing w:val="10"/>
          <w:sz w:val="28"/>
          <w:szCs w:val="28"/>
          <w:highlight w:val="none"/>
          <w:lang w:val="en-US" w:eastAsia="zh-CN"/>
        </w:rPr>
        <w:t>。地块所在控规位置图如图：</w:t>
      </w:r>
    </w:p>
    <w:bookmarkEnd w:id="15"/>
    <w:bookmarkEnd w:id="16"/>
    <w:bookmarkEnd w:id="17"/>
    <w:bookmarkEnd w:id="18"/>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lang w:eastAsia="zh-CN"/>
        </w:rPr>
      </w:pPr>
      <w:bookmarkStart w:id="19" w:name="_bookmark2"/>
      <w:bookmarkEnd w:id="19"/>
      <w:r>
        <w:rPr>
          <w:rFonts w:hint="eastAsia" w:ascii="宋体" w:hAnsi="宋体" w:eastAsia="宋体" w:cs="宋体"/>
          <w:b/>
          <w:bCs/>
          <w:sz w:val="20"/>
          <w:szCs w:val="20"/>
          <w:u w:val="single"/>
          <w:lang w:eastAsia="zh-CN"/>
        </w:rPr>
        <w:drawing>
          <wp:anchor distT="0" distB="0" distL="114300" distR="114300" simplePos="0" relativeHeight="251662336" behindDoc="1" locked="0" layoutInCell="1" allowOverlap="1">
            <wp:simplePos x="0" y="0"/>
            <wp:positionH relativeFrom="column">
              <wp:posOffset>467995</wp:posOffset>
            </wp:positionH>
            <wp:positionV relativeFrom="paragraph">
              <wp:posOffset>57150</wp:posOffset>
            </wp:positionV>
            <wp:extent cx="4542790" cy="4178300"/>
            <wp:effectExtent l="9525" t="9525" r="19685" b="22225"/>
            <wp:wrapNone/>
            <wp:docPr id="11" name="图片 11" descr="在控规的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在控规的位置图"/>
                    <pic:cNvPicPr>
                      <a:picLocks noChangeAspect="1"/>
                    </pic:cNvPicPr>
                  </pic:nvPicPr>
                  <pic:blipFill>
                    <a:blip r:embed="rId18"/>
                    <a:srcRect t="16631"/>
                    <a:stretch>
                      <a:fillRect/>
                    </a:stretch>
                  </pic:blipFill>
                  <pic:spPr>
                    <a:xfrm>
                      <a:off x="0" y="0"/>
                      <a:ext cx="4542790" cy="4178300"/>
                    </a:xfrm>
                    <a:prstGeom prst="rect">
                      <a:avLst/>
                    </a:prstGeom>
                    <a:ln>
                      <a:solidFill>
                        <a:schemeClr val="tx1"/>
                      </a:solidFill>
                    </a:ln>
                  </pic:spPr>
                </pic:pic>
              </a:graphicData>
            </a:graphic>
          </wp:anchor>
        </w:drawing>
      </w: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ind w:right="-1094" w:rightChars="-456"/>
        <w:jc w:val="center"/>
        <w:textAlignment w:val="auto"/>
        <w:rPr>
          <w:rFonts w:hint="eastAsia" w:cs="宋体"/>
          <w:b/>
          <w:bCs/>
          <w:sz w:val="20"/>
          <w:szCs w:val="20"/>
          <w:u w:val="single"/>
          <w:lang w:val="en-US" w:eastAsia="zh-CN"/>
        </w:rPr>
      </w:pPr>
    </w:p>
    <w:p>
      <w:pPr>
        <w:pageBreakBefore w:val="0"/>
        <w:widowControl w:val="0"/>
        <w:kinsoku/>
        <w:wordWrap/>
        <w:overflowPunct/>
        <w:topLinePunct w:val="0"/>
        <w:autoSpaceDE/>
        <w:autoSpaceDN/>
        <w:bidi w:val="0"/>
        <w:adjustRightInd/>
        <w:snapToGrid/>
        <w:spacing w:line="540" w:lineRule="exact"/>
        <w:ind w:right="-1094" w:rightChars="-456"/>
        <w:jc w:val="center"/>
        <w:textAlignment w:val="auto"/>
        <w:rPr>
          <w:rFonts w:hint="eastAsia" w:cs="宋体"/>
          <w:b/>
          <w:bCs/>
          <w:sz w:val="20"/>
          <w:szCs w:val="20"/>
          <w:u w:val="single"/>
          <w:lang w:val="en-US" w:eastAsia="zh-CN"/>
        </w:rPr>
      </w:pPr>
    </w:p>
    <w:p>
      <w:pPr>
        <w:pageBreakBefore w:val="0"/>
        <w:widowControl w:val="0"/>
        <w:kinsoku/>
        <w:wordWrap/>
        <w:overflowPunct/>
        <w:topLinePunct w:val="0"/>
        <w:autoSpaceDE/>
        <w:autoSpaceDN/>
        <w:bidi w:val="0"/>
        <w:adjustRightInd/>
        <w:snapToGrid/>
        <w:spacing w:line="540" w:lineRule="exact"/>
        <w:ind w:right="-1094" w:rightChars="-456"/>
        <w:jc w:val="center"/>
        <w:textAlignment w:val="auto"/>
        <w:rPr>
          <w:rFonts w:hint="eastAsia" w:cs="宋体"/>
          <w:b/>
          <w:bCs/>
          <w:sz w:val="20"/>
          <w:szCs w:val="20"/>
          <w:u w:val="single"/>
          <w:lang w:val="en-US" w:eastAsia="zh-CN"/>
        </w:rPr>
      </w:pPr>
    </w:p>
    <w:p>
      <w:pPr>
        <w:pageBreakBefore w:val="0"/>
        <w:widowControl w:val="0"/>
        <w:kinsoku/>
        <w:wordWrap/>
        <w:overflowPunct/>
        <w:topLinePunct w:val="0"/>
        <w:autoSpaceDE/>
        <w:autoSpaceDN/>
        <w:bidi w:val="0"/>
        <w:adjustRightInd/>
        <w:snapToGrid/>
        <w:spacing w:line="540" w:lineRule="exact"/>
        <w:ind w:right="-1094" w:rightChars="-456"/>
        <w:jc w:val="center"/>
        <w:textAlignment w:val="auto"/>
        <w:rPr>
          <w:rFonts w:hint="eastAsia" w:cs="宋体"/>
          <w:b/>
          <w:bCs/>
          <w:sz w:val="20"/>
          <w:szCs w:val="20"/>
          <w:u w:val="single"/>
          <w:lang w:val="en-US" w:eastAsia="zh-CN"/>
        </w:rPr>
      </w:pPr>
    </w:p>
    <w:p>
      <w:pPr>
        <w:pageBreakBefore w:val="0"/>
        <w:widowControl w:val="0"/>
        <w:kinsoku/>
        <w:wordWrap/>
        <w:overflowPunct/>
        <w:topLinePunct w:val="0"/>
        <w:autoSpaceDE/>
        <w:autoSpaceDN/>
        <w:bidi w:val="0"/>
        <w:adjustRightInd/>
        <w:snapToGrid/>
        <w:spacing w:line="540" w:lineRule="exact"/>
        <w:ind w:right="-1094" w:rightChars="-456"/>
        <w:jc w:val="center"/>
        <w:textAlignment w:val="auto"/>
        <w:rPr>
          <w:rFonts w:hint="eastAsia" w:ascii="宋体" w:hAnsi="宋体" w:eastAsia="宋体" w:cs="宋体"/>
          <w:b/>
          <w:bCs/>
          <w:sz w:val="20"/>
          <w:szCs w:val="20"/>
          <w:u w:val="none"/>
        </w:rPr>
      </w:pPr>
      <w:r>
        <w:rPr>
          <w:rFonts w:hint="eastAsia" w:cs="宋体"/>
          <w:b/>
          <w:bCs/>
          <w:sz w:val="20"/>
          <w:szCs w:val="20"/>
          <w:u w:val="single"/>
          <w:lang w:val="en-US" w:eastAsia="zh-CN"/>
        </w:rPr>
        <w:t>图1-1</w:t>
      </w:r>
      <w:r>
        <w:rPr>
          <w:rFonts w:hint="eastAsia" w:cs="宋体"/>
          <w:b/>
          <w:bCs/>
          <w:sz w:val="20"/>
          <w:szCs w:val="20"/>
          <w:u w:val="single"/>
          <w:lang w:eastAsia="zh-CN"/>
        </w:rPr>
        <w:t>地块</w:t>
      </w:r>
      <w:r>
        <w:rPr>
          <w:rFonts w:hint="eastAsia" w:ascii="宋体" w:hAnsi="宋体" w:eastAsia="宋体" w:cs="宋体"/>
          <w:b/>
          <w:bCs/>
          <w:sz w:val="20"/>
          <w:szCs w:val="20"/>
          <w:u w:val="single"/>
        </w:rPr>
        <w:t>在</w:t>
      </w:r>
      <w:r>
        <w:rPr>
          <w:rFonts w:hint="eastAsia" w:cs="宋体"/>
          <w:b/>
          <w:bCs/>
          <w:sz w:val="20"/>
          <w:szCs w:val="20"/>
          <w:u w:val="single"/>
          <w:lang w:val="en-US" w:eastAsia="zh-CN"/>
        </w:rPr>
        <w:t>南部片区控规</w:t>
      </w:r>
      <w:r>
        <w:rPr>
          <w:rFonts w:hint="eastAsia" w:ascii="宋体" w:hAnsi="宋体" w:eastAsia="宋体" w:cs="宋体"/>
          <w:b/>
          <w:bCs/>
          <w:sz w:val="20"/>
          <w:szCs w:val="20"/>
          <w:u w:val="single"/>
        </w:rPr>
        <w:t>位置图</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cs="宋体"/>
          <w:b/>
          <w:bCs w:val="0"/>
          <w:sz w:val="28"/>
          <w:szCs w:val="28"/>
          <w:lang w:val="en-US" w:eastAsia="zh-CN"/>
        </w:rPr>
      </w:pPr>
      <w:bookmarkStart w:id="20" w:name="_Toc8141116"/>
      <w:bookmarkStart w:id="21" w:name="_Toc6134"/>
      <w:bookmarkStart w:id="22" w:name="_Toc25654"/>
      <w:r>
        <w:rPr>
          <w:rFonts w:hint="eastAsia" w:cs="宋体"/>
          <w:b/>
          <w:bCs w:val="0"/>
          <w:sz w:val="28"/>
          <w:szCs w:val="28"/>
          <w:lang w:val="en-US" w:eastAsia="zh-CN"/>
        </w:rPr>
        <w:t>2、用地范围</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A-08-02地块</w:t>
      </w:r>
      <w:r>
        <w:rPr>
          <w:rFonts w:hint="eastAsia" w:ascii="宋体" w:hAnsi="宋体" w:cs="宋体"/>
          <w:bCs/>
          <w:color w:val="000000"/>
          <w:spacing w:val="10"/>
          <w:sz w:val="28"/>
          <w:szCs w:val="28"/>
          <w:highlight w:val="none"/>
          <w:lang w:val="en-US" w:eastAsia="zh-CN"/>
        </w:rPr>
        <w:t>规划范围</w:t>
      </w:r>
      <w:r>
        <w:rPr>
          <w:rFonts w:hint="eastAsia" w:cs="宋体"/>
          <w:bCs/>
          <w:color w:val="000000"/>
          <w:spacing w:val="10"/>
          <w:sz w:val="28"/>
          <w:szCs w:val="28"/>
          <w:highlight w:val="none"/>
          <w:lang w:val="en-US" w:eastAsia="zh-CN"/>
        </w:rPr>
        <w:t>东</w:t>
      </w:r>
      <w:r>
        <w:rPr>
          <w:rFonts w:hint="eastAsia" w:ascii="宋体" w:hAnsi="宋体" w:cs="宋体"/>
          <w:bCs/>
          <w:color w:val="000000"/>
          <w:spacing w:val="10"/>
          <w:sz w:val="28"/>
          <w:szCs w:val="28"/>
          <w:highlight w:val="none"/>
          <w:lang w:val="en-US" w:eastAsia="zh-CN"/>
        </w:rPr>
        <w:t>至</w:t>
      </w:r>
      <w:r>
        <w:rPr>
          <w:rFonts w:hint="eastAsia" w:cs="宋体"/>
          <w:bCs/>
          <w:color w:val="000000"/>
          <w:spacing w:val="10"/>
          <w:sz w:val="28"/>
          <w:szCs w:val="28"/>
          <w:highlight w:val="none"/>
          <w:lang w:val="en-US" w:eastAsia="zh-CN"/>
        </w:rPr>
        <w:t>莲湖嘉园小区</w:t>
      </w:r>
      <w:r>
        <w:rPr>
          <w:rFonts w:hint="eastAsia" w:ascii="宋体" w:hAnsi="宋体" w:cs="宋体"/>
          <w:bCs/>
          <w:color w:val="000000"/>
          <w:spacing w:val="10"/>
          <w:sz w:val="28"/>
          <w:szCs w:val="28"/>
          <w:highlight w:val="none"/>
          <w:lang w:val="en-US" w:eastAsia="zh-CN"/>
        </w:rPr>
        <w:t>、</w:t>
      </w:r>
      <w:r>
        <w:rPr>
          <w:rFonts w:hint="eastAsia" w:cs="宋体"/>
          <w:bCs/>
          <w:color w:val="000000"/>
          <w:spacing w:val="10"/>
          <w:sz w:val="28"/>
          <w:szCs w:val="28"/>
          <w:highlight w:val="none"/>
          <w:lang w:val="en-US" w:eastAsia="zh-CN"/>
        </w:rPr>
        <w:t>西</w:t>
      </w:r>
      <w:r>
        <w:rPr>
          <w:rFonts w:hint="eastAsia" w:ascii="宋体" w:hAnsi="宋体" w:cs="宋体"/>
          <w:bCs/>
          <w:color w:val="000000"/>
          <w:spacing w:val="10"/>
          <w:sz w:val="28"/>
          <w:szCs w:val="28"/>
          <w:highlight w:val="none"/>
          <w:lang w:val="en-US" w:eastAsia="zh-CN"/>
        </w:rPr>
        <w:t>至</w:t>
      </w:r>
      <w:r>
        <w:rPr>
          <w:rFonts w:hint="eastAsia" w:cs="宋体"/>
          <w:bCs/>
          <w:color w:val="000000"/>
          <w:spacing w:val="10"/>
          <w:sz w:val="28"/>
          <w:szCs w:val="28"/>
          <w:highlight w:val="none"/>
          <w:lang w:val="en-US" w:eastAsia="zh-CN"/>
        </w:rPr>
        <w:t>新建北路道路绿线</w:t>
      </w:r>
      <w:r>
        <w:rPr>
          <w:rFonts w:hint="eastAsia" w:ascii="宋体" w:hAnsi="宋体" w:cs="宋体"/>
          <w:bCs/>
          <w:color w:val="000000"/>
          <w:spacing w:val="10"/>
          <w:sz w:val="28"/>
          <w:szCs w:val="28"/>
          <w:highlight w:val="none"/>
          <w:lang w:val="en-US" w:eastAsia="zh-CN"/>
        </w:rPr>
        <w:t>、南至</w:t>
      </w:r>
      <w:r>
        <w:rPr>
          <w:rFonts w:hint="eastAsia" w:cs="宋体"/>
          <w:bCs/>
          <w:color w:val="000000"/>
          <w:spacing w:val="10"/>
          <w:sz w:val="28"/>
          <w:szCs w:val="28"/>
          <w:highlight w:val="none"/>
          <w:lang w:val="en-US" w:eastAsia="zh-CN"/>
        </w:rPr>
        <w:t>农业银行</w:t>
      </w:r>
      <w:r>
        <w:rPr>
          <w:rFonts w:hint="eastAsia" w:ascii="宋体" w:hAnsi="宋体" w:cs="宋体"/>
          <w:bCs/>
          <w:color w:val="000000"/>
          <w:spacing w:val="10"/>
          <w:sz w:val="28"/>
          <w:szCs w:val="28"/>
          <w:highlight w:val="none"/>
          <w:lang w:val="en-US" w:eastAsia="zh-CN"/>
        </w:rPr>
        <w:t>、北至</w:t>
      </w:r>
      <w:r>
        <w:rPr>
          <w:rFonts w:hint="eastAsia" w:cs="宋体"/>
          <w:bCs/>
          <w:color w:val="000000"/>
          <w:spacing w:val="10"/>
          <w:sz w:val="28"/>
          <w:szCs w:val="28"/>
          <w:highlight w:val="none"/>
          <w:lang w:val="en-US" w:eastAsia="zh-CN"/>
        </w:rPr>
        <w:t>六门巷</w:t>
      </w:r>
      <w:r>
        <w:rPr>
          <w:rFonts w:hint="eastAsia" w:ascii="宋体" w:hAnsi="宋体" w:cs="宋体"/>
          <w:bCs/>
          <w:color w:val="000000"/>
          <w:spacing w:val="10"/>
          <w:sz w:val="28"/>
          <w:szCs w:val="28"/>
          <w:highlight w:val="none"/>
          <w:lang w:val="en-US" w:eastAsia="zh-CN"/>
        </w:rPr>
        <w:t>，总用地面积为</w:t>
      </w:r>
      <w:r>
        <w:rPr>
          <w:rFonts w:hint="eastAsia" w:cs="宋体"/>
          <w:bCs/>
          <w:color w:val="000000"/>
          <w:spacing w:val="10"/>
          <w:sz w:val="28"/>
          <w:szCs w:val="28"/>
          <w:highlight w:val="none"/>
          <w:lang w:val="en-US" w:eastAsia="zh-CN"/>
        </w:rPr>
        <w:t>0.72</w:t>
      </w:r>
      <w:r>
        <w:rPr>
          <w:rFonts w:hint="eastAsia" w:ascii="宋体" w:hAnsi="宋体" w:cs="宋体"/>
          <w:bCs/>
          <w:color w:val="000000"/>
          <w:spacing w:val="10"/>
          <w:sz w:val="28"/>
          <w:szCs w:val="28"/>
          <w:highlight w:val="none"/>
          <w:lang w:val="en-US" w:eastAsia="zh-CN"/>
        </w:rPr>
        <w:t>公顷。</w:t>
      </w:r>
    </w:p>
    <w:bookmarkEnd w:id="20"/>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rPr>
          <w:rFonts w:hint="default" w:cs="宋体"/>
          <w:b/>
          <w:bCs w:val="0"/>
          <w:sz w:val="28"/>
          <w:szCs w:val="28"/>
          <w:lang w:val="en-US" w:eastAsia="zh-CN"/>
        </w:rPr>
      </w:pPr>
      <w:bookmarkStart w:id="23" w:name="_Toc8141117"/>
      <w:r>
        <w:rPr>
          <w:rFonts w:hint="eastAsia" w:cs="宋体"/>
          <w:b/>
          <w:bCs w:val="0"/>
          <w:sz w:val="28"/>
          <w:szCs w:val="28"/>
          <w:lang w:val="en-US" w:eastAsia="zh-CN"/>
        </w:rPr>
        <w:t>3、用地现状</w:t>
      </w:r>
    </w:p>
    <w:bookmarkEnd w:id="21"/>
    <w:bookmarkEnd w:id="22"/>
    <w:bookmarkEnd w:id="23"/>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bookmarkStart w:id="24" w:name="_Toc14178"/>
      <w:bookmarkStart w:id="25" w:name="_Toc8140948"/>
      <w:bookmarkStart w:id="26" w:name="_Toc8141118"/>
      <w:r>
        <w:rPr>
          <w:rFonts w:hint="eastAsia" w:cs="宋体"/>
          <w:bCs/>
          <w:color w:val="000000"/>
          <w:spacing w:val="10"/>
          <w:sz w:val="28"/>
          <w:szCs w:val="28"/>
          <w:highlight w:val="none"/>
          <w:lang w:val="en-US" w:eastAsia="zh-CN"/>
        </w:rPr>
        <w:t>A-08-02地块位于新建北路与六门巷东南角。整体呈长方形。</w:t>
      </w:r>
      <w:r>
        <w:rPr>
          <w:rFonts w:hint="eastAsia" w:ascii="宋体" w:hAnsi="宋体" w:cs="宋体"/>
          <w:bCs/>
          <w:color w:val="000000"/>
          <w:spacing w:val="10"/>
          <w:sz w:val="28"/>
          <w:szCs w:val="28"/>
          <w:highlight w:val="none"/>
          <w:lang w:val="en-US" w:eastAsia="zh-CN"/>
        </w:rPr>
        <w:t>南北长约</w:t>
      </w:r>
      <w:r>
        <w:rPr>
          <w:rFonts w:hint="eastAsia" w:cs="宋体"/>
          <w:bCs/>
          <w:color w:val="000000"/>
          <w:spacing w:val="10"/>
          <w:sz w:val="28"/>
          <w:szCs w:val="28"/>
          <w:highlight w:val="none"/>
          <w:lang w:val="en-US" w:eastAsia="zh-CN"/>
        </w:rPr>
        <w:t>173</w:t>
      </w:r>
      <w:r>
        <w:rPr>
          <w:rFonts w:hint="eastAsia" w:ascii="宋体" w:hAnsi="宋体" w:cs="宋体"/>
          <w:bCs/>
          <w:color w:val="000000"/>
          <w:spacing w:val="10"/>
          <w:sz w:val="28"/>
          <w:szCs w:val="28"/>
          <w:highlight w:val="none"/>
          <w:lang w:val="en-US" w:eastAsia="zh-CN"/>
        </w:rPr>
        <w:t>m，东西宽约</w:t>
      </w:r>
      <w:r>
        <w:rPr>
          <w:rFonts w:hint="eastAsia" w:cs="宋体"/>
          <w:bCs/>
          <w:color w:val="000000"/>
          <w:spacing w:val="10"/>
          <w:sz w:val="28"/>
          <w:szCs w:val="28"/>
          <w:highlight w:val="none"/>
          <w:lang w:val="en-US" w:eastAsia="zh-CN"/>
        </w:rPr>
        <w:t>40</w:t>
      </w:r>
      <w:r>
        <w:rPr>
          <w:rFonts w:hint="eastAsia" w:ascii="宋体" w:hAnsi="宋体" w:cs="宋体"/>
          <w:bCs/>
          <w:color w:val="000000"/>
          <w:spacing w:val="10"/>
          <w:sz w:val="28"/>
          <w:szCs w:val="28"/>
          <w:highlight w:val="none"/>
          <w:lang w:val="en-US" w:eastAsia="zh-CN"/>
        </w:rPr>
        <w:t>m，内部地势</w:t>
      </w:r>
      <w:bookmarkEnd w:id="24"/>
      <w:r>
        <w:rPr>
          <w:rFonts w:hint="eastAsia" w:cs="宋体"/>
          <w:bCs/>
          <w:color w:val="000000"/>
          <w:spacing w:val="10"/>
          <w:sz w:val="28"/>
          <w:szCs w:val="28"/>
          <w:highlight w:val="none"/>
          <w:lang w:val="en-US" w:eastAsia="zh-CN"/>
        </w:rPr>
        <w:t>高差不大</w:t>
      </w:r>
      <w:r>
        <w:rPr>
          <w:rFonts w:hint="eastAsia" w:ascii="宋体" w:hAnsi="宋体" w:cs="宋体"/>
          <w:bCs/>
          <w:color w:val="000000"/>
          <w:spacing w:val="10"/>
          <w:sz w:val="28"/>
          <w:szCs w:val="28"/>
          <w:highlight w:val="none"/>
          <w:lang w:val="en-US" w:eastAsia="zh-CN"/>
        </w:rPr>
        <w:t>。</w:t>
      </w:r>
      <w:bookmarkEnd w:id="25"/>
      <w:bookmarkEnd w:id="26"/>
      <w:r>
        <w:rPr>
          <w:rFonts w:hint="eastAsia" w:cs="宋体"/>
          <w:bCs/>
          <w:color w:val="000000"/>
          <w:spacing w:val="10"/>
          <w:sz w:val="28"/>
          <w:szCs w:val="28"/>
          <w:highlight w:val="none"/>
          <w:lang w:val="en-US" w:eastAsia="zh-CN"/>
        </w:rPr>
        <w:t>现状南侧部分为空地，北侧部分为临街商铺</w:t>
      </w:r>
      <w:r>
        <w:rPr>
          <w:rFonts w:hint="eastAsia" w:ascii="宋体" w:hAnsi="宋体" w:cs="宋体"/>
          <w:bCs/>
          <w:color w:val="000000"/>
          <w:spacing w:val="1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eastAsia" w:cs="宋体"/>
          <w:b/>
          <w:bCs w:val="0"/>
          <w:color w:val="000000"/>
          <w:spacing w:val="10"/>
          <w:sz w:val="28"/>
          <w:szCs w:val="28"/>
          <w:highlight w:val="none"/>
          <w:lang w:val="en-US" w:eastAsia="zh-CN"/>
        </w:rPr>
      </w:pPr>
      <w:r>
        <w:rPr>
          <w:rFonts w:hint="eastAsia" w:cs="宋体"/>
          <w:b/>
          <w:bCs w:val="0"/>
          <w:color w:val="000000"/>
          <w:spacing w:val="10"/>
          <w:sz w:val="28"/>
          <w:szCs w:val="28"/>
          <w:highlight w:val="none"/>
          <w:lang w:val="en-US" w:eastAsia="zh-CN"/>
        </w:rPr>
        <w:t>4、调整内容</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eastAsia" w:cs="宋体"/>
          <w:b/>
          <w:bCs w:val="0"/>
          <w:color w:val="000000"/>
          <w:spacing w:val="10"/>
          <w:sz w:val="28"/>
          <w:szCs w:val="28"/>
          <w:highlight w:val="none"/>
          <w:lang w:val="en-US" w:eastAsia="zh-CN"/>
        </w:rPr>
      </w:pPr>
      <w:r>
        <w:rPr>
          <w:rFonts w:hint="eastAsia" w:cs="宋体"/>
          <w:b/>
          <w:bCs w:val="0"/>
          <w:color w:val="000000"/>
          <w:spacing w:val="10"/>
          <w:sz w:val="28"/>
          <w:szCs w:val="28"/>
          <w:highlight w:val="none"/>
          <w:lang w:val="en-US" w:eastAsia="zh-CN"/>
        </w:rPr>
        <w:t>本次调整主要将A-08-02南侧部分地块调整为A-08-07地块，A-08-02剩余地块仅发生面积变化。</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cs="宋体"/>
          <w:b/>
          <w:bCs w:val="0"/>
          <w:color w:val="000000"/>
          <w:spacing w:val="10"/>
          <w:sz w:val="28"/>
          <w:szCs w:val="28"/>
          <w:highlight w:val="none"/>
          <w:lang w:val="en-US" w:eastAsia="zh-CN"/>
        </w:rPr>
      </w:pPr>
      <w:r>
        <w:rPr>
          <w:rFonts w:hint="eastAsia" w:cs="宋体"/>
          <w:b/>
          <w:bCs w:val="0"/>
          <w:color w:val="000000"/>
          <w:spacing w:val="10"/>
          <w:sz w:val="28"/>
          <w:szCs w:val="28"/>
          <w:highlight w:val="none"/>
          <w:lang w:val="en-US" w:eastAsia="zh-CN"/>
        </w:rPr>
        <w:t>面积调整：A-08-02地块面积由0.72公顷调整为0.53公顷；A-08-07地块面积调整为0.19公顷；</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cs="宋体"/>
          <w:b/>
          <w:bCs w:val="0"/>
          <w:color w:val="000000"/>
          <w:spacing w:val="10"/>
          <w:sz w:val="28"/>
          <w:szCs w:val="28"/>
          <w:highlight w:val="none"/>
          <w:lang w:val="en-US" w:eastAsia="zh-CN"/>
        </w:rPr>
      </w:pPr>
      <w:r>
        <w:rPr>
          <w:rFonts w:hint="eastAsia" w:cs="宋体"/>
          <w:b/>
          <w:bCs w:val="0"/>
          <w:color w:val="000000"/>
          <w:spacing w:val="10"/>
          <w:sz w:val="28"/>
          <w:szCs w:val="28"/>
          <w:highlight w:val="none"/>
          <w:lang w:val="en-US" w:eastAsia="zh-CN"/>
        </w:rPr>
        <w:t>用地性质调整：A-08-02地块、A-08-07地块用地性质不变；</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eastAsia="宋体" w:cs="宋体"/>
          <w:b/>
          <w:bCs w:val="0"/>
          <w:color w:val="000000"/>
          <w:spacing w:val="10"/>
          <w:sz w:val="28"/>
          <w:szCs w:val="28"/>
          <w:highlight w:val="none"/>
          <w:lang w:val="en-US" w:eastAsia="zh-CN"/>
        </w:rPr>
      </w:pPr>
      <w:r>
        <w:rPr>
          <w:rFonts w:hint="eastAsia" w:ascii="宋体" w:hAnsi="宋体"/>
          <w:b/>
          <w:bCs/>
          <w:spacing w:val="10"/>
          <w:sz w:val="28"/>
          <w:szCs w:val="28"/>
        </w:rPr>
        <w:t>容积率</w:t>
      </w:r>
      <w:r>
        <w:rPr>
          <w:rFonts w:hint="eastAsia"/>
          <w:b/>
          <w:bCs/>
          <w:spacing w:val="10"/>
          <w:sz w:val="28"/>
          <w:szCs w:val="28"/>
          <w:lang w:val="en-US" w:eastAsia="zh-CN"/>
        </w:rPr>
        <w:t>调整：</w:t>
      </w:r>
      <w:r>
        <w:rPr>
          <w:rFonts w:hint="eastAsia" w:cs="宋体"/>
          <w:b/>
          <w:bCs w:val="0"/>
          <w:color w:val="000000"/>
          <w:spacing w:val="10"/>
          <w:sz w:val="28"/>
          <w:szCs w:val="28"/>
          <w:highlight w:val="none"/>
          <w:lang w:val="en-US" w:eastAsia="zh-CN"/>
        </w:rPr>
        <w:t>A-08-07地块容积率调整为≤3.9；</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eastAsia"/>
          <w:b/>
          <w:bCs/>
          <w:spacing w:val="10"/>
          <w:sz w:val="28"/>
          <w:szCs w:val="28"/>
          <w:highlight w:val="none"/>
          <w:lang w:eastAsia="zh-CN"/>
        </w:rPr>
      </w:pPr>
      <w:r>
        <w:rPr>
          <w:rFonts w:hint="eastAsia" w:ascii="宋体" w:hAnsi="宋体"/>
          <w:b/>
          <w:bCs/>
          <w:spacing w:val="10"/>
          <w:sz w:val="28"/>
          <w:szCs w:val="28"/>
        </w:rPr>
        <w:t>建筑密度</w:t>
      </w:r>
      <w:r>
        <w:rPr>
          <w:rFonts w:hint="eastAsia"/>
          <w:b/>
          <w:bCs/>
          <w:spacing w:val="10"/>
          <w:sz w:val="28"/>
          <w:szCs w:val="28"/>
          <w:lang w:val="en-US" w:eastAsia="zh-CN"/>
        </w:rPr>
        <w:t>调整：</w:t>
      </w:r>
      <w:r>
        <w:rPr>
          <w:rFonts w:hint="eastAsia" w:cs="宋体"/>
          <w:b/>
          <w:bCs w:val="0"/>
          <w:color w:val="000000"/>
          <w:spacing w:val="10"/>
          <w:sz w:val="28"/>
          <w:szCs w:val="28"/>
          <w:highlight w:val="none"/>
          <w:lang w:val="en-US" w:eastAsia="zh-CN"/>
        </w:rPr>
        <w:t>A-08-07地块建筑密度调整为≤</w:t>
      </w:r>
      <w:r>
        <w:rPr>
          <w:rFonts w:hint="eastAsia"/>
          <w:b/>
          <w:bCs/>
          <w:spacing w:val="10"/>
          <w:sz w:val="28"/>
          <w:szCs w:val="28"/>
          <w:highlight w:val="none"/>
          <w:lang w:val="en-US" w:eastAsia="zh-CN"/>
        </w:rPr>
        <w:t>50</w:t>
      </w:r>
      <w:r>
        <w:rPr>
          <w:rFonts w:hint="eastAsia" w:ascii="宋体" w:hAnsi="宋体"/>
          <w:b/>
          <w:bCs/>
          <w:spacing w:val="10"/>
          <w:sz w:val="28"/>
          <w:szCs w:val="28"/>
          <w:highlight w:val="none"/>
        </w:rPr>
        <w:t>%</w:t>
      </w:r>
      <w:r>
        <w:rPr>
          <w:rFonts w:hint="eastAsia"/>
          <w:b/>
          <w:bCs/>
          <w:spacing w:val="10"/>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eastAsia"/>
          <w:b/>
          <w:bCs/>
          <w:spacing w:val="10"/>
          <w:sz w:val="28"/>
          <w:szCs w:val="28"/>
          <w:highlight w:val="none"/>
          <w:lang w:val="en-US" w:eastAsia="zh-CN"/>
        </w:rPr>
      </w:pPr>
      <w:r>
        <w:rPr>
          <w:rFonts w:hint="eastAsia"/>
          <w:b/>
          <w:bCs/>
          <w:spacing w:val="10"/>
          <w:sz w:val="28"/>
          <w:szCs w:val="28"/>
          <w:highlight w:val="none"/>
          <w:lang w:val="en-US" w:eastAsia="zh-CN"/>
        </w:rPr>
        <w:t>绿地率调整：</w:t>
      </w:r>
      <w:r>
        <w:rPr>
          <w:rFonts w:hint="eastAsia" w:cs="宋体"/>
          <w:b/>
          <w:bCs w:val="0"/>
          <w:color w:val="000000"/>
          <w:spacing w:val="10"/>
          <w:sz w:val="28"/>
          <w:szCs w:val="28"/>
          <w:highlight w:val="none"/>
          <w:lang w:val="en-US" w:eastAsia="zh-CN"/>
        </w:rPr>
        <w:t>A-08-07地块绿地率调整为</w:t>
      </w:r>
      <w:r>
        <w:rPr>
          <w:rFonts w:hint="eastAsia"/>
          <w:b/>
          <w:bCs/>
          <w:spacing w:val="10"/>
          <w:sz w:val="28"/>
          <w:szCs w:val="28"/>
          <w:highlight w:val="none"/>
          <w:lang w:val="en-US" w:eastAsia="zh-CN"/>
        </w:rPr>
        <w:t>≥20%；</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eastAsia"/>
          <w:b/>
          <w:bCs/>
          <w:spacing w:val="10"/>
          <w:sz w:val="28"/>
          <w:szCs w:val="28"/>
          <w:lang w:val="en-US" w:eastAsia="zh-CN"/>
        </w:rPr>
      </w:pPr>
      <w:r>
        <w:rPr>
          <w:rFonts w:hint="eastAsia"/>
          <w:b/>
          <w:bCs/>
          <w:spacing w:val="10"/>
          <w:sz w:val="28"/>
          <w:szCs w:val="28"/>
          <w:highlight w:val="none"/>
          <w:lang w:val="en-US" w:eastAsia="zh-CN"/>
        </w:rPr>
        <w:t>建筑高度调整：</w:t>
      </w:r>
      <w:r>
        <w:rPr>
          <w:rFonts w:hint="eastAsia" w:cs="宋体"/>
          <w:b/>
          <w:bCs w:val="0"/>
          <w:color w:val="000000"/>
          <w:spacing w:val="10"/>
          <w:sz w:val="28"/>
          <w:szCs w:val="28"/>
          <w:highlight w:val="none"/>
          <w:lang w:val="en-US" w:eastAsia="zh-CN"/>
        </w:rPr>
        <w:t>A-08-07建筑高度调整为≤</w:t>
      </w:r>
      <w:r>
        <w:rPr>
          <w:rFonts w:hint="eastAsia"/>
          <w:b/>
          <w:bCs/>
          <w:spacing w:val="10"/>
          <w:sz w:val="28"/>
          <w:szCs w:val="28"/>
          <w:highlight w:val="none"/>
          <w:lang w:val="en-US" w:eastAsia="zh-CN"/>
        </w:rPr>
        <w:t>50米；</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rPr>
          <w:rFonts w:hint="eastAsia" w:cs="宋体"/>
          <w:b/>
          <w:bCs w:val="0"/>
          <w:sz w:val="28"/>
          <w:szCs w:val="28"/>
          <w:lang w:val="en-US" w:eastAsia="zh-CN"/>
        </w:rPr>
      </w:pPr>
      <w:bookmarkStart w:id="27" w:name="_Toc26030"/>
      <w:bookmarkStart w:id="28" w:name="_Toc7810"/>
      <w:r>
        <w:rPr>
          <w:rFonts w:hint="eastAsia" w:cs="宋体"/>
          <w:b/>
          <w:bCs w:val="0"/>
          <w:sz w:val="28"/>
          <w:szCs w:val="28"/>
          <w:lang w:val="en-US" w:eastAsia="zh-CN"/>
        </w:rPr>
        <w:t>5、地块权属情况</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1994年7月21日，夏县土地管理局下发土地证，归于饮食服务公司，面积为2201.5平方米，现由于规划新建北路及道路绿化限制，因此地块避让道路绿线后，面积为1920平方米。目前A-08-07地块土地使用权已被政府收回，A-08-02剩余地块的权属为私人单位</w:t>
      </w:r>
      <w:r>
        <w:rPr>
          <w:rFonts w:hint="eastAsia" w:ascii="宋体" w:hAnsi="宋体" w:cs="宋体"/>
          <w:bCs/>
          <w:color w:val="000000"/>
          <w:spacing w:val="1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rPr>
          <w:rFonts w:hint="eastAsia" w:cs="宋体"/>
          <w:b/>
          <w:bCs w:val="0"/>
          <w:sz w:val="28"/>
          <w:szCs w:val="28"/>
          <w:lang w:val="en-US" w:eastAsia="zh-CN"/>
        </w:rPr>
      </w:pPr>
      <w:r>
        <w:rPr>
          <w:rFonts w:hint="eastAsia" w:cs="宋体"/>
          <w:b/>
          <w:bCs w:val="0"/>
          <w:sz w:val="28"/>
          <w:szCs w:val="28"/>
          <w:lang w:val="en-US" w:eastAsia="zh-CN"/>
        </w:rPr>
        <w:t>6、现状周边交通情况</w:t>
      </w:r>
      <w:bookmarkEnd w:id="27"/>
      <w:bookmarkEnd w:id="28"/>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highlight w:val="none"/>
          <w:lang w:val="en-US" w:eastAsia="zh-CN"/>
        </w:rPr>
      </w:pPr>
      <w:bookmarkStart w:id="29" w:name="_Toc8140953"/>
      <w:bookmarkStart w:id="30" w:name="_Toc25248"/>
      <w:bookmarkStart w:id="31" w:name="_Toc11389"/>
      <w:r>
        <w:rPr>
          <w:rFonts w:hint="eastAsia" w:ascii="宋体" w:hAnsi="宋体" w:cs="宋体"/>
          <w:bCs/>
          <w:color w:val="000000"/>
          <w:spacing w:val="10"/>
          <w:sz w:val="28"/>
          <w:szCs w:val="28"/>
          <w:highlight w:val="none"/>
          <w:lang w:val="en-US" w:eastAsia="zh-CN"/>
        </w:rPr>
        <w:t>该地块用地周边的城市道路</w:t>
      </w:r>
      <w:r>
        <w:rPr>
          <w:rFonts w:hint="eastAsia" w:cs="宋体"/>
          <w:bCs/>
          <w:color w:val="000000"/>
          <w:spacing w:val="10"/>
          <w:sz w:val="28"/>
          <w:szCs w:val="28"/>
          <w:highlight w:val="none"/>
          <w:lang w:val="en-US" w:eastAsia="zh-CN"/>
        </w:rPr>
        <w:t>有：西侧新建北路为城市主干道</w:t>
      </w:r>
      <w:r>
        <w:rPr>
          <w:rFonts w:hint="eastAsia" w:ascii="宋体" w:hAnsi="宋体" w:cs="宋体"/>
          <w:bCs/>
          <w:color w:val="000000"/>
          <w:spacing w:val="10"/>
          <w:sz w:val="28"/>
          <w:szCs w:val="28"/>
          <w:highlight w:val="none"/>
          <w:lang w:val="en-US" w:eastAsia="zh-CN"/>
        </w:rPr>
        <w:t>，</w:t>
      </w:r>
      <w:r>
        <w:rPr>
          <w:rFonts w:hint="eastAsia" w:cs="宋体"/>
          <w:bCs/>
          <w:color w:val="000000"/>
          <w:spacing w:val="10"/>
          <w:sz w:val="28"/>
          <w:szCs w:val="28"/>
          <w:highlight w:val="none"/>
          <w:lang w:val="en-US" w:eastAsia="zh-CN"/>
        </w:rPr>
        <w:t>现状道路宽度为22米，规划</w:t>
      </w:r>
      <w:r>
        <w:rPr>
          <w:rFonts w:hint="eastAsia" w:ascii="宋体" w:hAnsi="宋体" w:cs="宋体"/>
          <w:bCs/>
          <w:color w:val="000000"/>
          <w:spacing w:val="10"/>
          <w:sz w:val="28"/>
          <w:szCs w:val="28"/>
          <w:highlight w:val="none"/>
          <w:lang w:val="en-US" w:eastAsia="zh-CN"/>
        </w:rPr>
        <w:t>红线宽度</w:t>
      </w:r>
      <w:r>
        <w:rPr>
          <w:rFonts w:hint="eastAsia" w:cs="宋体"/>
          <w:bCs/>
          <w:color w:val="000000"/>
          <w:spacing w:val="10"/>
          <w:sz w:val="28"/>
          <w:szCs w:val="28"/>
          <w:highlight w:val="none"/>
          <w:lang w:val="en-US" w:eastAsia="zh-CN"/>
        </w:rPr>
        <w:t>32</w:t>
      </w:r>
      <w:r>
        <w:rPr>
          <w:rFonts w:hint="eastAsia" w:ascii="宋体" w:hAnsi="宋体" w:cs="宋体"/>
          <w:bCs/>
          <w:color w:val="000000"/>
          <w:spacing w:val="10"/>
          <w:sz w:val="28"/>
          <w:szCs w:val="28"/>
          <w:highlight w:val="none"/>
          <w:lang w:val="en-US" w:eastAsia="zh-CN"/>
        </w:rPr>
        <w:t>米</w:t>
      </w:r>
      <w:r>
        <w:rPr>
          <w:rFonts w:hint="eastAsia" w:cs="宋体"/>
          <w:bCs/>
          <w:color w:val="000000"/>
          <w:spacing w:val="10"/>
          <w:sz w:val="28"/>
          <w:szCs w:val="28"/>
          <w:highlight w:val="none"/>
          <w:lang w:val="en-US" w:eastAsia="zh-CN"/>
        </w:rPr>
        <w:t>，绿线宽度5米；南侧为农业银行及临街商铺，南侧100米外为东风东街，为城市主干道，现状道路宽度为22米，规划道路红线40米；北侧六门巷</w:t>
      </w:r>
      <w:r>
        <w:rPr>
          <w:rFonts w:hint="eastAsia" w:ascii="宋体" w:hAnsi="宋体" w:cs="宋体"/>
          <w:bCs/>
          <w:color w:val="000000"/>
          <w:spacing w:val="10"/>
          <w:sz w:val="28"/>
          <w:szCs w:val="28"/>
          <w:highlight w:val="none"/>
          <w:lang w:val="en-US" w:eastAsia="zh-CN"/>
        </w:rPr>
        <w:t>为城市</w:t>
      </w:r>
      <w:r>
        <w:rPr>
          <w:rFonts w:hint="eastAsia" w:cs="宋体"/>
          <w:bCs/>
          <w:color w:val="000000"/>
          <w:spacing w:val="10"/>
          <w:sz w:val="28"/>
          <w:szCs w:val="28"/>
          <w:highlight w:val="none"/>
          <w:lang w:val="en-US" w:eastAsia="zh-CN"/>
        </w:rPr>
        <w:t>次</w:t>
      </w:r>
      <w:r>
        <w:rPr>
          <w:rFonts w:hint="eastAsia" w:ascii="宋体" w:hAnsi="宋体" w:cs="宋体"/>
          <w:bCs/>
          <w:color w:val="000000"/>
          <w:spacing w:val="10"/>
          <w:sz w:val="28"/>
          <w:szCs w:val="28"/>
          <w:highlight w:val="none"/>
          <w:lang w:val="en-US" w:eastAsia="zh-CN"/>
        </w:rPr>
        <w:t>干</w:t>
      </w:r>
      <w:r>
        <w:rPr>
          <w:rFonts w:hint="eastAsia" w:cs="宋体"/>
          <w:bCs/>
          <w:color w:val="000000"/>
          <w:spacing w:val="10"/>
          <w:sz w:val="28"/>
          <w:szCs w:val="28"/>
          <w:highlight w:val="none"/>
          <w:lang w:val="en-US" w:eastAsia="zh-CN"/>
        </w:rPr>
        <w:t>道</w:t>
      </w:r>
      <w:r>
        <w:rPr>
          <w:rFonts w:hint="eastAsia" w:ascii="宋体" w:hAnsi="宋体" w:cs="宋体"/>
          <w:bCs/>
          <w:color w:val="000000"/>
          <w:spacing w:val="10"/>
          <w:sz w:val="28"/>
          <w:szCs w:val="28"/>
          <w:highlight w:val="none"/>
          <w:lang w:val="en-US" w:eastAsia="zh-CN"/>
        </w:rPr>
        <w:t>，</w:t>
      </w:r>
      <w:r>
        <w:rPr>
          <w:rFonts w:hint="eastAsia" w:cs="宋体"/>
          <w:bCs/>
          <w:color w:val="000000"/>
          <w:spacing w:val="10"/>
          <w:sz w:val="28"/>
          <w:szCs w:val="28"/>
          <w:highlight w:val="none"/>
          <w:lang w:val="en-US" w:eastAsia="zh-CN"/>
        </w:rPr>
        <w:t>现状道路宽度为12-16米，规划道路</w:t>
      </w:r>
      <w:r>
        <w:rPr>
          <w:rFonts w:hint="eastAsia" w:ascii="宋体" w:hAnsi="宋体" w:cs="宋体"/>
          <w:bCs/>
          <w:color w:val="000000"/>
          <w:spacing w:val="10"/>
          <w:sz w:val="28"/>
          <w:szCs w:val="28"/>
          <w:highlight w:val="none"/>
          <w:lang w:val="en-US" w:eastAsia="zh-CN"/>
        </w:rPr>
        <w:t>红线宽度</w:t>
      </w:r>
      <w:r>
        <w:rPr>
          <w:rFonts w:hint="eastAsia" w:cs="宋体"/>
          <w:bCs/>
          <w:color w:val="000000"/>
          <w:spacing w:val="10"/>
          <w:sz w:val="28"/>
          <w:szCs w:val="28"/>
          <w:highlight w:val="none"/>
          <w:lang w:val="en-US" w:eastAsia="zh-CN"/>
        </w:rPr>
        <w:t>21</w:t>
      </w:r>
      <w:r>
        <w:rPr>
          <w:rFonts w:hint="eastAsia" w:ascii="宋体" w:hAnsi="宋体" w:cs="宋体"/>
          <w:bCs/>
          <w:color w:val="000000"/>
          <w:spacing w:val="10"/>
          <w:sz w:val="28"/>
          <w:szCs w:val="28"/>
          <w:highlight w:val="none"/>
          <w:lang w:val="en-US" w:eastAsia="zh-CN"/>
        </w:rPr>
        <w:t>米；</w:t>
      </w:r>
      <w:r>
        <w:rPr>
          <w:rFonts w:hint="eastAsia" w:cs="宋体"/>
          <w:bCs/>
          <w:color w:val="000000"/>
          <w:spacing w:val="10"/>
          <w:sz w:val="28"/>
          <w:szCs w:val="28"/>
          <w:highlight w:val="none"/>
          <w:lang w:val="en-US" w:eastAsia="zh-CN"/>
        </w:rPr>
        <w:t>东</w:t>
      </w:r>
      <w:r>
        <w:rPr>
          <w:rFonts w:hint="eastAsia" w:ascii="宋体" w:hAnsi="宋体" w:cs="宋体"/>
          <w:bCs/>
          <w:color w:val="000000"/>
          <w:spacing w:val="10"/>
          <w:sz w:val="28"/>
          <w:szCs w:val="28"/>
          <w:highlight w:val="none"/>
          <w:lang w:val="en-US" w:eastAsia="zh-CN"/>
        </w:rPr>
        <w:t>侧</w:t>
      </w:r>
      <w:r>
        <w:rPr>
          <w:rFonts w:hint="eastAsia" w:cs="宋体"/>
          <w:bCs/>
          <w:color w:val="000000"/>
          <w:spacing w:val="10"/>
          <w:sz w:val="28"/>
          <w:szCs w:val="28"/>
          <w:highlight w:val="none"/>
          <w:lang w:val="en-US" w:eastAsia="zh-CN"/>
        </w:rPr>
        <w:t>为居民小区，东侧210米外</w:t>
      </w:r>
      <w:r>
        <w:rPr>
          <w:rFonts w:hint="eastAsia" w:ascii="宋体" w:hAnsi="宋体" w:cs="宋体"/>
          <w:bCs/>
          <w:color w:val="000000"/>
          <w:spacing w:val="10"/>
          <w:sz w:val="28"/>
          <w:szCs w:val="28"/>
          <w:highlight w:val="none"/>
          <w:lang w:val="en-US" w:eastAsia="zh-CN"/>
        </w:rPr>
        <w:t>为</w:t>
      </w:r>
      <w:r>
        <w:rPr>
          <w:rFonts w:hint="eastAsia" w:cs="宋体"/>
          <w:bCs/>
          <w:color w:val="000000"/>
          <w:spacing w:val="10"/>
          <w:sz w:val="28"/>
          <w:szCs w:val="28"/>
          <w:highlight w:val="none"/>
          <w:lang w:val="en-US" w:eastAsia="zh-CN"/>
        </w:rPr>
        <w:t>解放北路，为城市主干路</w:t>
      </w:r>
      <w:r>
        <w:rPr>
          <w:rFonts w:hint="eastAsia" w:ascii="宋体" w:hAnsi="宋体" w:cs="宋体"/>
          <w:bCs/>
          <w:color w:val="000000"/>
          <w:spacing w:val="10"/>
          <w:sz w:val="28"/>
          <w:szCs w:val="28"/>
          <w:highlight w:val="none"/>
          <w:lang w:val="en-US" w:eastAsia="zh-CN"/>
        </w:rPr>
        <w:t>，</w:t>
      </w:r>
      <w:r>
        <w:rPr>
          <w:rFonts w:hint="eastAsia" w:cs="宋体"/>
          <w:bCs/>
          <w:color w:val="000000"/>
          <w:spacing w:val="10"/>
          <w:sz w:val="28"/>
          <w:szCs w:val="28"/>
          <w:highlight w:val="none"/>
          <w:lang w:val="en-US" w:eastAsia="zh-CN"/>
        </w:rPr>
        <w:t>现状道路为22米，规划道路</w:t>
      </w:r>
      <w:r>
        <w:rPr>
          <w:rFonts w:hint="eastAsia" w:ascii="宋体" w:hAnsi="宋体" w:cs="宋体"/>
          <w:bCs/>
          <w:color w:val="000000"/>
          <w:spacing w:val="10"/>
          <w:sz w:val="28"/>
          <w:szCs w:val="28"/>
          <w:highlight w:val="none"/>
          <w:lang w:val="en-US" w:eastAsia="zh-CN"/>
        </w:rPr>
        <w:t>红线宽度</w:t>
      </w:r>
      <w:r>
        <w:rPr>
          <w:rFonts w:hint="eastAsia" w:cs="宋体"/>
          <w:bCs/>
          <w:color w:val="000000"/>
          <w:spacing w:val="10"/>
          <w:sz w:val="28"/>
          <w:szCs w:val="28"/>
          <w:highlight w:val="none"/>
          <w:lang w:val="en-US" w:eastAsia="zh-CN"/>
        </w:rPr>
        <w:t>30</w:t>
      </w:r>
      <w:r>
        <w:rPr>
          <w:rFonts w:hint="eastAsia" w:ascii="宋体" w:hAnsi="宋体" w:cs="宋体"/>
          <w:bCs/>
          <w:color w:val="000000"/>
          <w:spacing w:val="10"/>
          <w:sz w:val="28"/>
          <w:szCs w:val="28"/>
          <w:highlight w:val="none"/>
          <w:lang w:val="en-US" w:eastAsia="zh-CN"/>
        </w:rPr>
        <w:t>米</w:t>
      </w:r>
      <w:r>
        <w:rPr>
          <w:rFonts w:hint="eastAsia" w:cs="宋体"/>
          <w:bCs/>
          <w:color w:val="000000"/>
          <w:spacing w:val="1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地块</w:t>
      </w:r>
      <w:r>
        <w:rPr>
          <w:rFonts w:hint="eastAsia" w:ascii="宋体" w:hAnsi="宋体" w:cs="宋体"/>
          <w:bCs/>
          <w:color w:val="000000"/>
          <w:spacing w:val="10"/>
          <w:sz w:val="28"/>
          <w:szCs w:val="28"/>
          <w:highlight w:val="none"/>
          <w:lang w:val="en-US" w:eastAsia="zh-CN"/>
        </w:rPr>
        <w:t>周边设施配套完善，交通条件良好，地理位置较好</w:t>
      </w:r>
      <w:r>
        <w:rPr>
          <w:rFonts w:hint="eastAsia" w:cs="宋体"/>
          <w:bCs/>
          <w:color w:val="000000"/>
          <w:spacing w:val="10"/>
          <w:sz w:val="28"/>
          <w:szCs w:val="28"/>
          <w:highlight w:val="none"/>
          <w:lang w:val="en-US" w:eastAsia="zh-CN"/>
        </w:rPr>
        <w:t>，适宜建设</w:t>
      </w:r>
      <w:r>
        <w:rPr>
          <w:rFonts w:hint="eastAsia" w:ascii="宋体" w:hAnsi="宋体" w:cs="宋体"/>
          <w:bCs/>
          <w:color w:val="000000"/>
          <w:spacing w:val="1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ascii="宋体" w:hAnsi="宋体" w:cs="宋体"/>
          <w:bCs/>
          <w:color w:val="000000"/>
          <w:spacing w:val="10"/>
          <w:sz w:val="28"/>
          <w:szCs w:val="28"/>
          <w:highlight w:val="none"/>
          <w:lang w:val="en-US" w:eastAsia="zh-CN"/>
        </w:rPr>
        <w:drawing>
          <wp:anchor distT="0" distB="0" distL="114300" distR="114300" simplePos="0" relativeHeight="251662336" behindDoc="1" locked="0" layoutInCell="1" allowOverlap="1">
            <wp:simplePos x="0" y="0"/>
            <wp:positionH relativeFrom="column">
              <wp:posOffset>629285</wp:posOffset>
            </wp:positionH>
            <wp:positionV relativeFrom="paragraph">
              <wp:posOffset>62865</wp:posOffset>
            </wp:positionV>
            <wp:extent cx="4187190" cy="3382645"/>
            <wp:effectExtent l="9525" t="9525" r="13335" b="17780"/>
            <wp:wrapNone/>
            <wp:docPr id="17" name="图片 1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2"/>
                    <pic:cNvPicPr>
                      <a:picLocks noChangeAspect="1"/>
                    </pic:cNvPicPr>
                  </pic:nvPicPr>
                  <pic:blipFill>
                    <a:blip r:embed="rId19"/>
                    <a:srcRect l="9503" t="8422" r="36222" b="30933"/>
                    <a:stretch>
                      <a:fillRect/>
                    </a:stretch>
                  </pic:blipFill>
                  <pic:spPr>
                    <a:xfrm>
                      <a:off x="0" y="0"/>
                      <a:ext cx="4187190" cy="3382645"/>
                    </a:xfrm>
                    <a:prstGeom prst="rect">
                      <a:avLst/>
                    </a:prstGeom>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p>
    <w:bookmarkEnd w:id="29"/>
    <w:bookmarkEnd w:id="30"/>
    <w:bookmarkEnd w:id="31"/>
    <w:p>
      <w:pPr>
        <w:pageBreakBefore w:val="0"/>
        <w:widowControl w:val="0"/>
        <w:kinsoku/>
        <w:wordWrap/>
        <w:overflowPunct/>
        <w:topLinePunct w:val="0"/>
        <w:autoSpaceDE/>
        <w:autoSpaceDN/>
        <w:bidi w:val="0"/>
        <w:adjustRightInd/>
        <w:snapToGrid/>
        <w:spacing w:line="540" w:lineRule="exact"/>
        <w:jc w:val="center"/>
        <w:textAlignment w:val="auto"/>
      </w:pPr>
      <w:bookmarkStart w:id="32" w:name="_Toc29138"/>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lang w:eastAsia="zh-CN"/>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20"/>
          <w:szCs w:val="20"/>
          <w:u w:val="singl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color w:val="000000"/>
          <w:sz w:val="32"/>
          <w:szCs w:val="32"/>
          <w:lang w:val="en-US" w:eastAsia="zh-CN"/>
        </w:rPr>
      </w:pPr>
      <w:r>
        <w:rPr>
          <w:rFonts w:hint="eastAsia" w:ascii="宋体" w:hAnsi="宋体" w:eastAsia="宋体" w:cs="宋体"/>
          <w:b/>
          <w:bCs/>
          <w:sz w:val="20"/>
          <w:szCs w:val="20"/>
          <w:u w:val="single"/>
        </w:rPr>
        <w:t>图1-</w:t>
      </w:r>
      <w:r>
        <w:rPr>
          <w:rFonts w:hint="eastAsia" w:cs="宋体"/>
          <w:b/>
          <w:bCs/>
          <w:sz w:val="20"/>
          <w:szCs w:val="20"/>
          <w:u w:val="single"/>
          <w:lang w:val="en-US" w:eastAsia="zh-CN"/>
        </w:rPr>
        <w:t>2</w:t>
      </w:r>
      <w:r>
        <w:rPr>
          <w:rFonts w:hint="eastAsia" w:ascii="宋体" w:hAnsi="宋体" w:eastAsia="宋体" w:cs="宋体"/>
          <w:b/>
          <w:bCs/>
          <w:sz w:val="20"/>
          <w:szCs w:val="20"/>
          <w:u w:val="single"/>
        </w:rPr>
        <w:t xml:space="preserve"> </w:t>
      </w:r>
      <w:r>
        <w:rPr>
          <w:rFonts w:hint="eastAsia" w:cs="宋体"/>
          <w:b/>
          <w:bCs/>
          <w:sz w:val="20"/>
          <w:szCs w:val="20"/>
          <w:u w:val="single"/>
          <w:lang w:eastAsia="zh-CN"/>
        </w:rPr>
        <w:t>地块</w:t>
      </w:r>
      <w:r>
        <w:rPr>
          <w:rFonts w:hint="eastAsia" w:ascii="宋体" w:hAnsi="宋体" w:eastAsia="宋体" w:cs="宋体"/>
          <w:b/>
          <w:bCs/>
          <w:sz w:val="20"/>
          <w:szCs w:val="20"/>
          <w:u w:val="single"/>
          <w:lang w:eastAsia="zh-CN"/>
        </w:rPr>
        <w:t>周边情况</w:t>
      </w:r>
      <w:bookmarkEnd w:id="32"/>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outlineLvl w:val="1"/>
        <w:rPr>
          <w:rFonts w:hint="eastAsia" w:ascii="宋体" w:hAnsi="宋体" w:cs="宋体"/>
          <w:b/>
          <w:bCs w:val="0"/>
          <w:color w:val="000000"/>
          <w:spacing w:val="10"/>
          <w:sz w:val="30"/>
          <w:szCs w:val="30"/>
          <w:highlight w:val="none"/>
          <w:lang w:val="en-US" w:eastAsia="zh-CN"/>
        </w:rPr>
      </w:pPr>
      <w:bookmarkStart w:id="33" w:name="_Toc12931"/>
      <w:bookmarkStart w:id="34" w:name="_Toc16148"/>
      <w:r>
        <w:rPr>
          <w:rFonts w:hint="eastAsia" w:ascii="宋体" w:hAnsi="宋体" w:cs="宋体"/>
          <w:b/>
          <w:bCs w:val="0"/>
          <w:color w:val="000000"/>
          <w:spacing w:val="10"/>
          <w:sz w:val="30"/>
          <w:szCs w:val="30"/>
          <w:highlight w:val="none"/>
          <w:lang w:val="en-US" w:eastAsia="zh-CN"/>
        </w:rPr>
        <w:t>三、规划修改的必要性</w:t>
      </w:r>
      <w:bookmarkEnd w:id="33"/>
      <w:bookmarkEnd w:id="34"/>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ascii="宋体" w:hAnsi="宋体" w:cs="宋体"/>
          <w:b/>
          <w:bCs w:val="0"/>
          <w:color w:val="000000"/>
          <w:spacing w:val="10"/>
          <w:sz w:val="28"/>
          <w:szCs w:val="28"/>
          <w:highlight w:val="none"/>
          <w:lang w:val="en-US" w:eastAsia="zh-CN"/>
        </w:rPr>
      </w:pPr>
      <w:bookmarkStart w:id="35" w:name="_Toc1122"/>
      <w:bookmarkStart w:id="36" w:name="_Toc3627"/>
      <w:r>
        <w:rPr>
          <w:rFonts w:hint="eastAsia" w:ascii="宋体" w:hAnsi="宋体" w:cs="宋体"/>
          <w:b/>
          <w:bCs w:val="0"/>
          <w:color w:val="000000"/>
          <w:spacing w:val="10"/>
          <w:sz w:val="28"/>
          <w:szCs w:val="28"/>
          <w:highlight w:val="none"/>
          <w:lang w:val="en-US" w:eastAsia="zh-CN"/>
        </w:rPr>
        <w:t>1、项目的调整</w:t>
      </w:r>
      <w:r>
        <w:rPr>
          <w:rFonts w:hint="eastAsia" w:cs="宋体"/>
          <w:b/>
          <w:bCs w:val="0"/>
          <w:color w:val="000000"/>
          <w:spacing w:val="10"/>
          <w:sz w:val="28"/>
          <w:szCs w:val="28"/>
          <w:highlight w:val="none"/>
          <w:lang w:val="en-US" w:eastAsia="zh-CN"/>
        </w:rPr>
        <w:t>是城市资源合理分配的需要</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随着城市化进程的加速，土地资源日益紧张。将地块规划指标进行调整，可以提高土地的使用效率和价值。这种规划方式有利于实现城市空间的高效利用，缓解城市用地压力。</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因此，为了合理分配城市资源，完善城市布局。将A-08-07地块规划指标进行调整是必要的。</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eastAsia" w:ascii="宋体" w:hAnsi="宋体" w:cs="宋体"/>
          <w:b/>
          <w:bCs w:val="0"/>
          <w:color w:val="000000"/>
          <w:spacing w:val="10"/>
          <w:sz w:val="28"/>
          <w:szCs w:val="28"/>
          <w:highlight w:val="none"/>
          <w:lang w:val="en-US" w:eastAsia="zh-CN"/>
        </w:rPr>
      </w:pPr>
      <w:r>
        <w:rPr>
          <w:rFonts w:hint="eastAsia" w:cs="宋体"/>
          <w:b/>
          <w:bCs w:val="0"/>
          <w:color w:val="000000"/>
          <w:spacing w:val="10"/>
          <w:sz w:val="28"/>
          <w:szCs w:val="28"/>
          <w:highlight w:val="none"/>
          <w:lang w:val="en-US" w:eastAsia="zh-CN"/>
        </w:rPr>
        <w:t>2、项</w:t>
      </w:r>
      <w:r>
        <w:rPr>
          <w:rFonts w:hint="eastAsia" w:ascii="宋体" w:hAnsi="宋体" w:cs="宋体"/>
          <w:b/>
          <w:bCs w:val="0"/>
          <w:color w:val="000000"/>
          <w:spacing w:val="10"/>
          <w:sz w:val="28"/>
          <w:szCs w:val="28"/>
          <w:highlight w:val="none"/>
          <w:lang w:val="en-US" w:eastAsia="zh-CN"/>
        </w:rPr>
        <w:t>目的调整是</w:t>
      </w:r>
      <w:r>
        <w:rPr>
          <w:rFonts w:hint="eastAsia" w:cs="宋体"/>
          <w:b/>
          <w:bCs w:val="0"/>
          <w:color w:val="000000"/>
          <w:spacing w:val="10"/>
          <w:sz w:val="28"/>
          <w:szCs w:val="28"/>
          <w:highlight w:val="none"/>
          <w:lang w:val="en-US" w:eastAsia="zh-CN"/>
        </w:rPr>
        <w:t>提升城区形象与市容市貌</w:t>
      </w:r>
      <w:r>
        <w:rPr>
          <w:rFonts w:hint="eastAsia" w:ascii="宋体" w:hAnsi="宋体" w:cs="宋体"/>
          <w:b/>
          <w:bCs w:val="0"/>
          <w:color w:val="000000"/>
          <w:spacing w:val="10"/>
          <w:sz w:val="28"/>
          <w:szCs w:val="28"/>
          <w:highlight w:val="none"/>
          <w:lang w:val="en-US" w:eastAsia="zh-CN"/>
        </w:rPr>
        <w:t>的需要。</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宋体" w:hAnsi="宋体" w:cs="宋体"/>
          <w:bCs/>
          <w:color w:val="000000"/>
          <w:spacing w:val="10"/>
          <w:sz w:val="28"/>
          <w:szCs w:val="28"/>
          <w:highlight w:val="red"/>
          <w:lang w:val="en-US" w:eastAsia="zh-CN"/>
        </w:rPr>
      </w:pPr>
      <w:r>
        <w:rPr>
          <w:rFonts w:hint="eastAsia" w:cs="宋体"/>
          <w:bCs/>
          <w:color w:val="000000"/>
          <w:spacing w:val="10"/>
          <w:sz w:val="28"/>
          <w:szCs w:val="28"/>
          <w:highlight w:val="none"/>
          <w:lang w:val="en-US" w:eastAsia="zh-CN"/>
        </w:rPr>
        <w:t>本次调整的A-08-02</w:t>
      </w:r>
      <w:r>
        <w:rPr>
          <w:rFonts w:hint="eastAsia" w:ascii="宋体" w:hAnsi="宋体" w:cs="宋体"/>
          <w:bCs/>
          <w:color w:val="000000"/>
          <w:spacing w:val="10"/>
          <w:sz w:val="28"/>
          <w:szCs w:val="28"/>
          <w:highlight w:val="none"/>
          <w:lang w:val="en-US" w:eastAsia="zh-CN"/>
        </w:rPr>
        <w:t>地块</w:t>
      </w:r>
      <w:r>
        <w:rPr>
          <w:rFonts w:hint="eastAsia" w:cs="宋体"/>
          <w:bCs/>
          <w:color w:val="000000"/>
          <w:spacing w:val="10"/>
          <w:sz w:val="28"/>
          <w:szCs w:val="28"/>
          <w:highlight w:val="none"/>
          <w:lang w:val="en-US" w:eastAsia="zh-CN"/>
        </w:rPr>
        <w:t>原为饮食服务公司恒利家俱城，现已因安全问题拆除，地块位置优越，位于夏县城区的重要节点，拆除重建后，地块的开发强度增大，不仅提供多元的商业配套设施，展示城市的现代化和繁荣程度，还将提高夏县县城的整体形象和风貌。</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eastAsia" w:ascii="宋体" w:hAnsi="宋体" w:cs="宋体"/>
          <w:b/>
          <w:bCs w:val="0"/>
          <w:color w:val="000000"/>
          <w:spacing w:val="10"/>
          <w:sz w:val="28"/>
          <w:szCs w:val="28"/>
          <w:highlight w:val="none"/>
          <w:lang w:val="en-US" w:eastAsia="zh-CN"/>
        </w:rPr>
      </w:pPr>
      <w:r>
        <w:rPr>
          <w:rFonts w:hint="eastAsia" w:cs="宋体"/>
          <w:b/>
          <w:bCs w:val="0"/>
          <w:color w:val="000000"/>
          <w:spacing w:val="10"/>
          <w:sz w:val="28"/>
          <w:szCs w:val="28"/>
          <w:highlight w:val="none"/>
          <w:lang w:val="en-US" w:eastAsia="zh-CN"/>
        </w:rPr>
        <w:t>3</w:t>
      </w:r>
      <w:r>
        <w:rPr>
          <w:rFonts w:hint="eastAsia" w:ascii="宋体" w:hAnsi="宋体" w:cs="宋体"/>
          <w:b/>
          <w:bCs w:val="0"/>
          <w:color w:val="000000"/>
          <w:spacing w:val="10"/>
          <w:sz w:val="28"/>
          <w:szCs w:val="28"/>
          <w:highlight w:val="none"/>
          <w:lang w:val="en-US" w:eastAsia="zh-CN"/>
        </w:rPr>
        <w:t>、项目建设是</w:t>
      </w:r>
      <w:r>
        <w:rPr>
          <w:rFonts w:hint="eastAsia" w:cs="宋体"/>
          <w:b/>
          <w:bCs w:val="0"/>
          <w:color w:val="000000"/>
          <w:spacing w:val="10"/>
          <w:sz w:val="28"/>
          <w:szCs w:val="28"/>
          <w:highlight w:val="none"/>
          <w:lang w:val="en-US" w:eastAsia="zh-CN"/>
        </w:rPr>
        <w:t>夏县县城</w:t>
      </w:r>
      <w:r>
        <w:rPr>
          <w:rFonts w:hint="eastAsia" w:ascii="宋体" w:hAnsi="宋体" w:cs="宋体"/>
          <w:b/>
          <w:bCs w:val="0"/>
          <w:color w:val="000000"/>
          <w:spacing w:val="10"/>
          <w:sz w:val="28"/>
          <w:szCs w:val="28"/>
          <w:highlight w:val="none"/>
          <w:lang w:val="en-US" w:eastAsia="zh-CN"/>
        </w:rPr>
        <w:t>快速发展的需要</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highlight w:val="none"/>
          <w:lang w:val="en-US" w:eastAsia="zh-CN"/>
        </w:rPr>
      </w:pPr>
      <w:r>
        <w:rPr>
          <w:rFonts w:hint="eastAsia" w:ascii="宋体" w:hAnsi="宋体" w:cs="宋体"/>
          <w:bCs/>
          <w:color w:val="000000"/>
          <w:spacing w:val="10"/>
          <w:sz w:val="28"/>
          <w:szCs w:val="28"/>
          <w:highlight w:val="none"/>
          <w:lang w:val="en-US" w:eastAsia="zh-CN"/>
        </w:rPr>
        <w:t>《夏县中心城区</w:t>
      </w:r>
      <w:r>
        <w:rPr>
          <w:rFonts w:hint="eastAsia" w:cs="宋体"/>
          <w:bCs/>
          <w:color w:val="000000"/>
          <w:spacing w:val="10"/>
          <w:sz w:val="28"/>
          <w:szCs w:val="28"/>
          <w:highlight w:val="none"/>
          <w:lang w:val="en-US" w:eastAsia="zh-CN"/>
        </w:rPr>
        <w:t>控制性</w:t>
      </w:r>
      <w:r>
        <w:rPr>
          <w:rFonts w:hint="eastAsia" w:ascii="宋体" w:hAnsi="宋体" w:cs="宋体"/>
          <w:bCs/>
          <w:color w:val="000000"/>
          <w:spacing w:val="10"/>
          <w:sz w:val="28"/>
          <w:szCs w:val="28"/>
          <w:highlight w:val="none"/>
          <w:lang w:val="en-US" w:eastAsia="zh-CN"/>
        </w:rPr>
        <w:t>详细规划》</w:t>
      </w:r>
      <w:r>
        <w:rPr>
          <w:rFonts w:hint="eastAsia" w:cs="宋体"/>
          <w:bCs/>
          <w:color w:val="000000"/>
          <w:spacing w:val="10"/>
          <w:sz w:val="28"/>
          <w:szCs w:val="28"/>
          <w:highlight w:val="none"/>
          <w:lang w:val="en-US" w:eastAsia="zh-CN"/>
        </w:rPr>
        <w:t>于2018年公布，</w:t>
      </w:r>
      <w:r>
        <w:rPr>
          <w:rFonts w:hint="eastAsia" w:ascii="宋体" w:hAnsi="宋体" w:cs="宋体"/>
          <w:bCs/>
          <w:color w:val="000000"/>
          <w:spacing w:val="10"/>
          <w:sz w:val="28"/>
          <w:szCs w:val="28"/>
          <w:highlight w:val="none"/>
          <w:lang w:val="en-US" w:eastAsia="zh-CN"/>
        </w:rPr>
        <w:t>随着城市的发展，</w:t>
      </w:r>
      <w:r>
        <w:rPr>
          <w:rFonts w:hint="eastAsia" w:cs="宋体"/>
          <w:bCs/>
          <w:color w:val="000000"/>
          <w:spacing w:val="10"/>
          <w:sz w:val="28"/>
          <w:szCs w:val="28"/>
          <w:highlight w:val="none"/>
          <w:lang w:val="en-US" w:eastAsia="zh-CN"/>
        </w:rPr>
        <w:t>其中部分内容已不满足夏县县城现状，原《控规》中该地块开发强度较小，作为拆除重建项目，需要考虑拆迁补偿和后期营收等方面，相比其他项目投资成本较大。因此需要将A-08-02</w:t>
      </w:r>
      <w:r>
        <w:rPr>
          <w:rFonts w:hint="eastAsia" w:ascii="宋体" w:hAnsi="宋体" w:cs="宋体"/>
          <w:bCs/>
          <w:color w:val="000000"/>
          <w:spacing w:val="10"/>
          <w:sz w:val="28"/>
          <w:szCs w:val="28"/>
          <w:highlight w:val="none"/>
          <w:lang w:val="en-US" w:eastAsia="zh-CN"/>
        </w:rPr>
        <w:t>地块</w:t>
      </w:r>
      <w:r>
        <w:rPr>
          <w:rFonts w:hint="eastAsia" w:cs="宋体"/>
          <w:bCs/>
          <w:color w:val="000000"/>
          <w:spacing w:val="10"/>
          <w:sz w:val="28"/>
          <w:szCs w:val="28"/>
          <w:highlight w:val="none"/>
          <w:lang w:val="en-US" w:eastAsia="zh-CN"/>
        </w:rPr>
        <w:t>进行调整，以此解决拆迁补偿和后期营收等方面问题，满足未来夏县县城的发展需要。</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宋体" w:hAnsi="宋体" w:cs="宋体"/>
          <w:bCs/>
          <w:color w:val="000000"/>
          <w:spacing w:val="10"/>
          <w:sz w:val="28"/>
          <w:szCs w:val="28"/>
          <w:highlight w:val="none"/>
          <w:lang w:val="en-US" w:eastAsia="zh-CN"/>
        </w:rPr>
      </w:pPr>
      <w:r>
        <w:rPr>
          <w:rFonts w:hint="eastAsia" w:ascii="宋体" w:hAnsi="宋体" w:cs="宋体"/>
          <w:bCs/>
          <w:color w:val="000000"/>
          <w:spacing w:val="10"/>
          <w:sz w:val="28"/>
          <w:szCs w:val="28"/>
          <w:highlight w:val="none"/>
          <w:lang w:val="en-US" w:eastAsia="zh-CN"/>
        </w:rPr>
        <w:t>随着城市的快速发展，城市规模的扩大，城市人口密度的增大。</w:t>
      </w:r>
      <w:r>
        <w:rPr>
          <w:rFonts w:hint="eastAsia" w:cs="宋体"/>
          <w:bCs/>
          <w:color w:val="000000"/>
          <w:spacing w:val="10"/>
          <w:sz w:val="28"/>
          <w:szCs w:val="28"/>
          <w:highlight w:val="none"/>
          <w:lang w:val="en-US" w:eastAsia="zh-CN"/>
        </w:rPr>
        <w:t>本次地块的调整能够提供稳定的就业机会，吸引更多的人口到城市居住，从而增强城市的社会稳定性。提高城市的生态效益和经济效益，实现城市的可持续发展。</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宋体" w:hAnsi="宋体" w:eastAsia="宋体" w:cs="宋体"/>
          <w:bCs/>
          <w:color w:val="000000"/>
          <w:spacing w:val="10"/>
          <w:kern w:val="2"/>
          <w:sz w:val="28"/>
          <w:szCs w:val="28"/>
          <w:highlight w:val="none"/>
          <w:lang w:val="en-US" w:eastAsia="zh-CN" w:bidi="ar-SA"/>
        </w:rPr>
      </w:pPr>
      <w:r>
        <w:rPr>
          <w:rFonts w:hint="eastAsia" w:ascii="宋体" w:hAnsi="宋体" w:eastAsia="宋体" w:cs="宋体"/>
          <w:bCs/>
          <w:color w:val="000000"/>
          <w:spacing w:val="10"/>
          <w:kern w:val="2"/>
          <w:sz w:val="28"/>
          <w:szCs w:val="28"/>
          <w:highlight w:val="none"/>
          <w:lang w:val="en-US" w:eastAsia="zh-CN" w:bidi="ar-SA"/>
        </w:rPr>
        <w:t>综上所述，该地块的调整符合</w:t>
      </w:r>
      <w:r>
        <w:rPr>
          <w:rFonts w:hint="eastAsia" w:cs="宋体"/>
          <w:bCs/>
          <w:color w:val="000000"/>
          <w:spacing w:val="10"/>
          <w:kern w:val="2"/>
          <w:sz w:val="28"/>
          <w:szCs w:val="28"/>
          <w:highlight w:val="none"/>
          <w:lang w:val="en-US" w:eastAsia="zh-CN" w:bidi="ar-SA"/>
        </w:rPr>
        <w:t>城市发展需要</w:t>
      </w:r>
      <w:r>
        <w:rPr>
          <w:rFonts w:hint="eastAsia" w:ascii="宋体" w:hAnsi="宋体" w:eastAsia="宋体" w:cs="宋体"/>
          <w:bCs/>
          <w:color w:val="000000"/>
          <w:spacing w:val="10"/>
          <w:kern w:val="2"/>
          <w:sz w:val="28"/>
          <w:szCs w:val="28"/>
          <w:highlight w:val="none"/>
          <w:lang w:val="en-US" w:eastAsia="zh-CN" w:bidi="ar-SA"/>
        </w:rPr>
        <w:t>，有利于</w:t>
      </w:r>
      <w:r>
        <w:rPr>
          <w:rFonts w:hint="eastAsia" w:cs="宋体"/>
          <w:bCs/>
          <w:color w:val="000000"/>
          <w:spacing w:val="10"/>
          <w:kern w:val="2"/>
          <w:sz w:val="28"/>
          <w:szCs w:val="28"/>
          <w:highlight w:val="none"/>
          <w:lang w:val="en-US" w:eastAsia="zh-CN" w:bidi="ar-SA"/>
        </w:rPr>
        <w:t>夏县城市资源的合理分配</w:t>
      </w:r>
      <w:r>
        <w:rPr>
          <w:rFonts w:hint="eastAsia" w:ascii="宋体" w:hAnsi="宋体" w:eastAsia="宋体" w:cs="宋体"/>
          <w:bCs/>
          <w:color w:val="000000"/>
          <w:spacing w:val="10"/>
          <w:kern w:val="2"/>
          <w:sz w:val="28"/>
          <w:szCs w:val="28"/>
          <w:highlight w:val="none"/>
          <w:lang w:val="en-US" w:eastAsia="zh-CN" w:bidi="ar-SA"/>
        </w:rPr>
        <w:t>，促进</w:t>
      </w:r>
      <w:r>
        <w:rPr>
          <w:rFonts w:hint="eastAsia" w:cs="宋体"/>
          <w:bCs/>
          <w:color w:val="000000"/>
          <w:spacing w:val="10"/>
          <w:kern w:val="2"/>
          <w:sz w:val="28"/>
          <w:szCs w:val="28"/>
          <w:highlight w:val="none"/>
          <w:lang w:val="en-US" w:eastAsia="zh-CN" w:bidi="ar-SA"/>
        </w:rPr>
        <w:t>夏县的</w:t>
      </w:r>
      <w:r>
        <w:rPr>
          <w:rFonts w:hint="eastAsia" w:ascii="宋体" w:hAnsi="宋体" w:eastAsia="宋体" w:cs="宋体"/>
          <w:bCs/>
          <w:color w:val="000000"/>
          <w:spacing w:val="10"/>
          <w:kern w:val="2"/>
          <w:sz w:val="28"/>
          <w:szCs w:val="28"/>
          <w:highlight w:val="none"/>
          <w:lang w:val="en-US" w:eastAsia="zh-CN" w:bidi="ar-SA"/>
        </w:rPr>
        <w:t>快速发展，提升城市</w:t>
      </w:r>
      <w:r>
        <w:rPr>
          <w:rFonts w:hint="eastAsia" w:cs="宋体"/>
          <w:bCs/>
          <w:color w:val="000000"/>
          <w:spacing w:val="10"/>
          <w:kern w:val="2"/>
          <w:sz w:val="28"/>
          <w:szCs w:val="28"/>
          <w:highlight w:val="none"/>
          <w:lang w:val="en-US" w:eastAsia="zh-CN" w:bidi="ar-SA"/>
        </w:rPr>
        <w:t>生活水平与城区形象</w:t>
      </w:r>
      <w:r>
        <w:rPr>
          <w:rFonts w:hint="eastAsia" w:ascii="宋体" w:hAnsi="宋体" w:eastAsia="宋体" w:cs="宋体"/>
          <w:bCs/>
          <w:color w:val="000000"/>
          <w:spacing w:val="10"/>
          <w:kern w:val="2"/>
          <w:sz w:val="28"/>
          <w:szCs w:val="28"/>
          <w:highlight w:val="none"/>
          <w:lang w:val="en-US" w:eastAsia="zh-CN" w:bidi="ar-SA"/>
        </w:rPr>
        <w:t>。因此本次调整是十分必要的。</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eastAsia" w:ascii="宋体" w:hAnsi="宋体" w:eastAsia="宋体" w:cs="宋体"/>
          <w:b/>
          <w:color w:val="000000"/>
          <w:sz w:val="32"/>
          <w:szCs w:val="32"/>
        </w:rPr>
      </w:pPr>
      <w:bookmarkStart w:id="37" w:name="_Toc9716"/>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eastAsia" w:ascii="宋体" w:hAnsi="宋体" w:eastAsia="宋体" w:cs="宋体"/>
          <w:b/>
          <w:color w:val="000000"/>
          <w:sz w:val="32"/>
          <w:szCs w:val="32"/>
        </w:rPr>
      </w:pPr>
      <w:bookmarkStart w:id="38" w:name="_Toc7685"/>
      <w:r>
        <w:rPr>
          <w:rFonts w:hint="eastAsia" w:ascii="宋体" w:hAnsi="宋体" w:eastAsia="宋体" w:cs="宋体"/>
          <w:b/>
          <w:color w:val="000000"/>
          <w:sz w:val="32"/>
          <w:szCs w:val="32"/>
        </w:rPr>
        <w:t>第</w:t>
      </w:r>
      <w:r>
        <w:rPr>
          <w:rFonts w:hint="eastAsia" w:cs="宋体"/>
          <w:b/>
          <w:color w:val="000000"/>
          <w:sz w:val="32"/>
          <w:szCs w:val="32"/>
          <w:lang w:val="en-US" w:eastAsia="zh-CN"/>
        </w:rPr>
        <w:t>二</w:t>
      </w:r>
      <w:r>
        <w:rPr>
          <w:rFonts w:hint="eastAsia" w:ascii="宋体" w:hAnsi="宋体" w:eastAsia="宋体" w:cs="宋体"/>
          <w:b/>
          <w:color w:val="000000"/>
          <w:sz w:val="32"/>
          <w:szCs w:val="32"/>
        </w:rPr>
        <w:t xml:space="preserve">章   </w:t>
      </w:r>
      <w:bookmarkEnd w:id="35"/>
      <w:bookmarkEnd w:id="36"/>
      <w:r>
        <w:rPr>
          <w:rFonts w:hint="eastAsia" w:ascii="宋体" w:hAnsi="宋体" w:eastAsia="宋体" w:cs="宋体"/>
          <w:b/>
          <w:color w:val="000000"/>
          <w:sz w:val="32"/>
          <w:szCs w:val="32"/>
        </w:rPr>
        <w:t>规划总则</w:t>
      </w:r>
      <w:bookmarkEnd w:id="37"/>
      <w:bookmarkEnd w:id="38"/>
      <w:bookmarkStart w:id="39" w:name="_Toc23834"/>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cs="宋体"/>
          <w:b/>
          <w:bCs/>
          <w:color w:val="000000"/>
          <w:sz w:val="30"/>
          <w:szCs w:val="30"/>
          <w:lang w:val="en-US" w:eastAsia="zh-CN"/>
        </w:rPr>
      </w:pPr>
      <w:bookmarkStart w:id="40" w:name="_Toc30407"/>
      <w:bookmarkStart w:id="41" w:name="_Toc1146"/>
      <w:r>
        <w:rPr>
          <w:rFonts w:hint="eastAsia" w:cs="宋体"/>
          <w:b/>
          <w:bCs/>
          <w:color w:val="000000"/>
          <w:sz w:val="30"/>
          <w:szCs w:val="30"/>
          <w:lang w:val="en-US" w:eastAsia="zh-CN"/>
        </w:rPr>
        <w:t>一、规划修改的依据</w:t>
      </w:r>
      <w:bookmarkEnd w:id="40"/>
      <w:bookmarkEnd w:id="41"/>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1.《中华人民共和国城乡规划法》(2019)</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2.《中华人民共和国土地管理法》（2019）</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3.《城市规划编制办法》(2006年4月1日)</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cs="宋体"/>
          <w:sz w:val="28"/>
          <w:szCs w:val="28"/>
          <w:lang w:val="en-US" w:eastAsia="zh-CN"/>
        </w:rPr>
        <w:t>4</w:t>
      </w:r>
      <w:r>
        <w:rPr>
          <w:rFonts w:hint="eastAsia" w:ascii="宋体" w:hAnsi="宋体" w:eastAsia="宋体" w:cs="宋体"/>
          <w:sz w:val="28"/>
          <w:szCs w:val="28"/>
          <w:lang w:val="en-US" w:eastAsia="zh-CN"/>
        </w:rPr>
        <w:t>.《城市用地分类与规划建设用地标准》(GB50137—2011)</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b w:val="0"/>
          <w:bCs w:val="0"/>
          <w:sz w:val="28"/>
          <w:szCs w:val="28"/>
          <w:lang w:val="en-US" w:eastAsia="zh-CN"/>
        </w:rPr>
      </w:pPr>
      <w:r>
        <w:rPr>
          <w:rFonts w:hint="eastAsia" w:cs="宋体"/>
          <w:b w:val="0"/>
          <w:bCs w:val="0"/>
          <w:sz w:val="28"/>
          <w:szCs w:val="28"/>
          <w:lang w:val="en-US" w:eastAsia="zh-CN"/>
        </w:rPr>
        <w:t>5</w:t>
      </w:r>
      <w:r>
        <w:rPr>
          <w:rFonts w:hint="eastAsia" w:ascii="宋体" w:hAnsi="宋体" w:eastAsia="宋体" w:cs="宋体"/>
          <w:b w:val="0"/>
          <w:bCs w:val="0"/>
          <w:sz w:val="28"/>
          <w:szCs w:val="28"/>
          <w:lang w:val="en-US" w:eastAsia="zh-CN"/>
        </w:rPr>
        <w:t>.《</w:t>
      </w:r>
      <w:r>
        <w:rPr>
          <w:rFonts w:hint="eastAsia" w:cs="宋体"/>
          <w:b w:val="0"/>
          <w:bCs w:val="0"/>
          <w:sz w:val="28"/>
          <w:szCs w:val="28"/>
          <w:lang w:val="en-US" w:eastAsia="zh-CN"/>
        </w:rPr>
        <w:t>夏</w:t>
      </w:r>
      <w:r>
        <w:rPr>
          <w:rFonts w:hint="eastAsia" w:ascii="宋体" w:hAnsi="宋体" w:eastAsia="宋体" w:cs="宋体"/>
          <w:b w:val="0"/>
          <w:bCs w:val="0"/>
          <w:sz w:val="28"/>
          <w:szCs w:val="28"/>
          <w:lang w:val="en-US" w:eastAsia="zh-CN"/>
        </w:rPr>
        <w:t>县</w:t>
      </w:r>
      <w:r>
        <w:rPr>
          <w:rFonts w:hint="eastAsia" w:cs="宋体"/>
          <w:b w:val="0"/>
          <w:bCs w:val="0"/>
          <w:sz w:val="28"/>
          <w:szCs w:val="28"/>
          <w:lang w:val="en-US" w:eastAsia="zh-CN"/>
        </w:rPr>
        <w:t>中心城区控制性</w:t>
      </w:r>
      <w:r>
        <w:rPr>
          <w:rFonts w:hint="eastAsia" w:ascii="宋体" w:hAnsi="宋体" w:eastAsia="宋体" w:cs="宋体"/>
          <w:b w:val="0"/>
          <w:bCs w:val="0"/>
          <w:sz w:val="28"/>
          <w:szCs w:val="28"/>
          <w:lang w:val="en-US" w:eastAsia="zh-CN"/>
        </w:rPr>
        <w:t>详细规划》</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cs="宋体"/>
          <w:sz w:val="28"/>
          <w:szCs w:val="28"/>
          <w:lang w:val="en-US" w:eastAsia="zh-CN"/>
        </w:rPr>
        <w:t>6</w:t>
      </w:r>
      <w:r>
        <w:rPr>
          <w:rFonts w:hint="eastAsia" w:ascii="宋体" w:hAnsi="宋体" w:eastAsia="宋体" w:cs="宋体"/>
          <w:sz w:val="28"/>
          <w:szCs w:val="28"/>
          <w:lang w:val="en-US" w:eastAsia="zh-CN"/>
        </w:rPr>
        <w:t>.《国土空间调查、规划、用途管制用地用海分类指南》（2023年）</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cs="宋体"/>
          <w:sz w:val="28"/>
          <w:szCs w:val="28"/>
          <w:lang w:val="en-US" w:eastAsia="zh-CN"/>
        </w:rPr>
        <w:t>7.</w:t>
      </w:r>
      <w:r>
        <w:rPr>
          <w:rFonts w:hint="eastAsia" w:ascii="宋体" w:hAnsi="宋体" w:eastAsia="宋体" w:cs="宋体"/>
          <w:sz w:val="28"/>
          <w:szCs w:val="28"/>
          <w:lang w:val="en-US" w:eastAsia="zh-CN"/>
        </w:rPr>
        <w:t>国家相关规范及山西省、运城市、</w:t>
      </w:r>
      <w:r>
        <w:rPr>
          <w:rFonts w:hint="eastAsia" w:cs="宋体"/>
          <w:sz w:val="28"/>
          <w:szCs w:val="28"/>
          <w:lang w:val="en-US" w:eastAsia="zh-CN"/>
        </w:rPr>
        <w:t>夏县</w:t>
      </w:r>
      <w:r>
        <w:rPr>
          <w:rFonts w:hint="eastAsia" w:ascii="宋体" w:hAnsi="宋体" w:eastAsia="宋体" w:cs="宋体"/>
          <w:sz w:val="28"/>
          <w:szCs w:val="28"/>
          <w:lang w:val="en-US" w:eastAsia="zh-CN"/>
        </w:rPr>
        <w:t>规划主管部门相关技术规定</w:t>
      </w:r>
    </w:p>
    <w:bookmarkEnd w:id="39"/>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ascii="宋体" w:hAnsi="宋体" w:eastAsia="宋体" w:cs="宋体"/>
          <w:b/>
          <w:color w:val="000000"/>
          <w:sz w:val="30"/>
          <w:szCs w:val="30"/>
        </w:rPr>
      </w:pPr>
      <w:bookmarkStart w:id="42" w:name="_Toc17625"/>
      <w:bookmarkStart w:id="43" w:name="_Toc10160"/>
      <w:r>
        <w:rPr>
          <w:rFonts w:hint="eastAsia" w:cs="宋体"/>
          <w:b/>
          <w:color w:val="000000"/>
          <w:sz w:val="30"/>
          <w:szCs w:val="30"/>
          <w:lang w:val="en-US" w:eastAsia="zh-CN"/>
        </w:rPr>
        <w:t>二</w:t>
      </w:r>
      <w:r>
        <w:rPr>
          <w:rFonts w:hint="eastAsia" w:ascii="宋体" w:hAnsi="宋体" w:eastAsia="宋体" w:cs="宋体"/>
          <w:b/>
          <w:color w:val="000000"/>
          <w:sz w:val="30"/>
          <w:szCs w:val="30"/>
        </w:rPr>
        <w:t>、</w:t>
      </w:r>
      <w:r>
        <w:rPr>
          <w:rFonts w:hint="eastAsia" w:cs="宋体"/>
          <w:b/>
          <w:color w:val="000000"/>
          <w:sz w:val="30"/>
          <w:szCs w:val="30"/>
          <w:lang w:eastAsia="zh-CN"/>
        </w:rPr>
        <w:t>规划调整原则</w:t>
      </w:r>
      <w:bookmarkEnd w:id="42"/>
      <w:bookmarkEnd w:id="43"/>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outlineLvl w:val="9"/>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1、区域协调原则</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规划充分考虑项目地块与周边现状的整体协调，以及道路交通、配套、市政设施建设等方面的衔接与协调，实现环境的统一。</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outlineLvl w:val="9"/>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2、近、远期相结合的原则</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规划既要考虑到</w:t>
      </w:r>
      <w:r>
        <w:rPr>
          <w:rFonts w:hint="eastAsia" w:cs="宋体"/>
          <w:sz w:val="28"/>
          <w:szCs w:val="28"/>
          <w:lang w:val="en-US" w:eastAsia="zh-CN"/>
        </w:rPr>
        <w:t>近期</w:t>
      </w:r>
      <w:r>
        <w:rPr>
          <w:rFonts w:hint="eastAsia" w:ascii="宋体" w:hAnsi="宋体" w:eastAsia="宋体" w:cs="宋体"/>
          <w:sz w:val="28"/>
          <w:szCs w:val="28"/>
          <w:lang w:val="en-US" w:eastAsia="zh-CN"/>
        </w:rPr>
        <w:t>发展的经济动力支撑，又要考虑远期的发展问题，合理确定目标任务，量力而行、尽力而为，逐步推进，满足当地居民改善生活条件的要求。</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outlineLvl w:val="9"/>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3、人文关怀和社会公平原则</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在建设过程中</w:t>
      </w:r>
      <w:r>
        <w:rPr>
          <w:rFonts w:hint="eastAsia" w:cs="宋体"/>
          <w:sz w:val="28"/>
          <w:szCs w:val="28"/>
          <w:lang w:val="en-US" w:eastAsia="zh-CN"/>
        </w:rPr>
        <w:t>，</w:t>
      </w:r>
      <w:r>
        <w:rPr>
          <w:rFonts w:hint="eastAsia" w:ascii="宋体" w:hAnsi="宋体" w:eastAsia="宋体" w:cs="宋体"/>
          <w:sz w:val="28"/>
          <w:szCs w:val="28"/>
          <w:lang w:val="en-US" w:eastAsia="zh-CN"/>
        </w:rPr>
        <w:t>要营造舒适的人际关系、和谐的工作、生活环境、建立利益共享机制，保障社会公平，加大社会事务管理力度，改善城市卫生和治安状况，在规划布局中坚持人文关怀和社会公正的原则，切实保障公益性公共设施的建设用地和服务供给。</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outlineLvl w:val="9"/>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4、可操作性原则</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为了实现项目地块的合理布局，地块在开发强度控制、用地布局等方面规划必须结合其他用地整体考虑，并保持适度的弹性，提高对市场不确定性的适应能力，使规划具有切实的可操作性。</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cs="宋体"/>
          <w:b/>
          <w:bCs/>
          <w:color w:val="000000"/>
          <w:sz w:val="30"/>
          <w:szCs w:val="30"/>
          <w:lang w:val="en-US" w:eastAsia="zh-CN"/>
        </w:rPr>
      </w:pPr>
      <w:bookmarkStart w:id="44" w:name="_Toc20381"/>
      <w:bookmarkStart w:id="45" w:name="_Toc276"/>
      <w:r>
        <w:rPr>
          <w:rFonts w:hint="eastAsia" w:cs="宋体"/>
          <w:b/>
          <w:bCs/>
          <w:color w:val="000000"/>
          <w:sz w:val="30"/>
          <w:szCs w:val="30"/>
          <w:lang w:val="en-US" w:eastAsia="zh-CN"/>
        </w:rPr>
        <w:t>三、规划修改的重点内容</w:t>
      </w:r>
      <w:bookmarkEnd w:id="44"/>
      <w:bookmarkEnd w:id="45"/>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cs="宋体"/>
          <w:b/>
          <w:bCs/>
          <w:color w:val="000000"/>
          <w:sz w:val="28"/>
          <w:szCs w:val="28"/>
          <w:lang w:val="en-US" w:eastAsia="zh-CN"/>
        </w:rPr>
      </w:pPr>
      <w:r>
        <w:rPr>
          <w:rFonts w:hint="eastAsia" w:cs="宋体"/>
          <w:b/>
          <w:bCs/>
          <w:color w:val="000000"/>
          <w:sz w:val="28"/>
          <w:szCs w:val="28"/>
          <w:lang w:val="en-US" w:eastAsia="zh-CN"/>
        </w:rPr>
        <w:t>1、注重现状调查，提高控规调整的可操作性</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加强对现状地籍资料的调查，尊重土地权属人的合法权益。在规划分地块时综合考虑土地权属和使用权等要素的影响，尽量协调权属地块的用地边界。</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cs="宋体"/>
          <w:b/>
          <w:bCs/>
          <w:color w:val="000000"/>
          <w:sz w:val="28"/>
          <w:szCs w:val="28"/>
          <w:lang w:val="en-US" w:eastAsia="zh-CN"/>
        </w:rPr>
      </w:pPr>
      <w:r>
        <w:rPr>
          <w:rFonts w:hint="eastAsia" w:cs="宋体"/>
          <w:b/>
          <w:bCs/>
          <w:color w:val="000000"/>
          <w:sz w:val="28"/>
          <w:szCs w:val="28"/>
          <w:lang w:val="en-US" w:eastAsia="zh-CN"/>
        </w:rPr>
        <w:t>2、注重上位规划的延续性，协调及衔接已编、在编的相关规划</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以</w:t>
      </w:r>
      <w:r>
        <w:rPr>
          <w:rFonts w:hint="eastAsia" w:cs="宋体"/>
          <w:sz w:val="28"/>
          <w:szCs w:val="28"/>
          <w:lang w:val="en-US" w:eastAsia="zh-CN"/>
        </w:rPr>
        <w:t>《夏县国土空间总体规划》（2021-2035年）</w:t>
      </w:r>
      <w:r>
        <w:rPr>
          <w:rFonts w:hint="eastAsia" w:ascii="宋体" w:hAnsi="宋体" w:eastAsia="宋体" w:cs="宋体"/>
          <w:sz w:val="28"/>
          <w:szCs w:val="28"/>
          <w:lang w:val="en-US" w:eastAsia="zh-CN"/>
        </w:rPr>
        <w:t>、已编已批控规为依据，延续总体规划思路，协调衔接已编、在编的相关规划，结合现状建设，优化用地总体布局方案，细化土地用途、路网系统，准确地块平面定位，量化建设用地规模，确定控制指标，科学全面深入落实总体规划及各专项规划意图。</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cs="宋体"/>
          <w:b/>
          <w:bCs/>
          <w:color w:val="000000"/>
          <w:sz w:val="28"/>
          <w:szCs w:val="28"/>
          <w:lang w:val="en-US" w:eastAsia="zh-CN"/>
        </w:rPr>
      </w:pPr>
      <w:r>
        <w:rPr>
          <w:rFonts w:hint="eastAsia" w:cs="宋体"/>
          <w:b/>
          <w:bCs/>
          <w:color w:val="000000"/>
          <w:sz w:val="28"/>
          <w:szCs w:val="28"/>
          <w:lang w:val="en-US" w:eastAsia="zh-CN"/>
        </w:rPr>
        <w:t>3、科学制定规划控制指标体系</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规划控制指标体系是控规的核心内容，控制指标的刚性与弹性直接关系到规划的前瞻性和操作性。</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eastAsia" w:ascii="宋体" w:hAnsi="宋体" w:eastAsia="宋体" w:cs="宋体"/>
          <w:b/>
          <w:color w:val="000000"/>
          <w:sz w:val="32"/>
          <w:szCs w:val="32"/>
        </w:rPr>
      </w:pPr>
      <w:bookmarkStart w:id="46" w:name="_Toc24780"/>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default" w:ascii="宋体" w:hAnsi="宋体" w:eastAsia="宋体" w:cs="宋体"/>
          <w:b/>
          <w:color w:val="000000"/>
          <w:sz w:val="32"/>
          <w:szCs w:val="32"/>
          <w:lang w:val="en-US" w:eastAsia="zh-CN"/>
        </w:rPr>
      </w:pPr>
      <w:bookmarkStart w:id="47" w:name="_Toc9037"/>
      <w:r>
        <w:rPr>
          <w:rFonts w:hint="eastAsia" w:ascii="宋体" w:hAnsi="宋体" w:eastAsia="宋体" w:cs="宋体"/>
          <w:b/>
          <w:color w:val="000000"/>
          <w:sz w:val="32"/>
          <w:szCs w:val="32"/>
        </w:rPr>
        <w:t>第</w:t>
      </w:r>
      <w:r>
        <w:rPr>
          <w:rFonts w:hint="eastAsia" w:cs="宋体"/>
          <w:b/>
          <w:color w:val="000000"/>
          <w:sz w:val="32"/>
          <w:szCs w:val="32"/>
          <w:lang w:val="en-US" w:eastAsia="zh-CN"/>
        </w:rPr>
        <w:t>三</w:t>
      </w:r>
      <w:r>
        <w:rPr>
          <w:rFonts w:hint="eastAsia" w:ascii="宋体" w:hAnsi="宋体" w:eastAsia="宋体" w:cs="宋体"/>
          <w:b/>
          <w:color w:val="000000"/>
          <w:sz w:val="32"/>
          <w:szCs w:val="32"/>
        </w:rPr>
        <w:t xml:space="preserve">章  </w:t>
      </w:r>
      <w:bookmarkStart w:id="48" w:name="_Toc18932"/>
      <w:r>
        <w:rPr>
          <w:rFonts w:hint="eastAsia" w:ascii="宋体" w:hAnsi="宋体" w:cs="宋体"/>
          <w:b/>
          <w:bCs/>
          <w:sz w:val="30"/>
          <w:szCs w:val="30"/>
        </w:rPr>
        <w:t xml:space="preserve">  上位</w:t>
      </w:r>
      <w:r>
        <w:rPr>
          <w:rFonts w:hint="eastAsia" w:cs="宋体"/>
          <w:b/>
          <w:bCs/>
          <w:sz w:val="30"/>
          <w:szCs w:val="30"/>
          <w:lang w:val="en-US" w:eastAsia="zh-CN"/>
        </w:rPr>
        <w:t>规划</w:t>
      </w:r>
      <w:r>
        <w:rPr>
          <w:rFonts w:hint="eastAsia" w:ascii="宋体" w:hAnsi="宋体" w:cs="宋体"/>
          <w:b/>
          <w:bCs/>
          <w:sz w:val="30"/>
          <w:szCs w:val="30"/>
        </w:rPr>
        <w:t>及涉及地块简介</w:t>
      </w:r>
      <w:bookmarkEnd w:id="46"/>
      <w:bookmarkEnd w:id="47"/>
      <w:bookmarkEnd w:id="48"/>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cs="宋体"/>
          <w:b/>
          <w:bCs/>
          <w:color w:val="000000"/>
          <w:sz w:val="30"/>
          <w:szCs w:val="30"/>
          <w:lang w:val="en-US" w:eastAsia="zh-CN"/>
        </w:rPr>
      </w:pPr>
      <w:bookmarkStart w:id="49" w:name="_Toc15270"/>
      <w:bookmarkStart w:id="50" w:name="_Toc4998"/>
      <w:bookmarkStart w:id="51" w:name="_Toc14172"/>
      <w:r>
        <w:rPr>
          <w:rFonts w:hint="eastAsia" w:cs="宋体"/>
          <w:b/>
          <w:bCs/>
          <w:color w:val="000000"/>
          <w:sz w:val="30"/>
          <w:szCs w:val="30"/>
          <w:lang w:val="en-US" w:eastAsia="zh-CN"/>
        </w:rPr>
        <w:t>一、《夏县中心城区控制性详细规划》相关内容</w:t>
      </w:r>
      <w:bookmarkEnd w:id="49"/>
      <w:bookmarkEnd w:id="50"/>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cs="宋体"/>
          <w:b w:val="0"/>
          <w:bCs w:val="0"/>
          <w:sz w:val="28"/>
          <w:szCs w:val="28"/>
          <w:lang w:val="en-US" w:eastAsia="zh-CN"/>
        </w:rPr>
      </w:pPr>
      <w:r>
        <w:rPr>
          <w:rFonts w:hint="eastAsia" w:cs="宋体"/>
          <w:b w:val="0"/>
          <w:bCs w:val="0"/>
          <w:sz w:val="28"/>
          <w:szCs w:val="28"/>
          <w:lang w:val="en-US" w:eastAsia="zh-CN"/>
        </w:rPr>
        <w:drawing>
          <wp:anchor distT="0" distB="0" distL="114300" distR="114300" simplePos="0" relativeHeight="251662336" behindDoc="1" locked="0" layoutInCell="1" allowOverlap="1">
            <wp:simplePos x="0" y="0"/>
            <wp:positionH relativeFrom="column">
              <wp:posOffset>683895</wp:posOffset>
            </wp:positionH>
            <wp:positionV relativeFrom="paragraph">
              <wp:posOffset>1011555</wp:posOffset>
            </wp:positionV>
            <wp:extent cx="4023995" cy="2894965"/>
            <wp:effectExtent l="0" t="0" r="14605" b="635"/>
            <wp:wrapNone/>
            <wp:docPr id="20" name="图片 20" descr="修改前图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修改前图则"/>
                    <pic:cNvPicPr>
                      <a:picLocks noChangeAspect="1"/>
                    </pic:cNvPicPr>
                  </pic:nvPicPr>
                  <pic:blipFill>
                    <a:blip r:embed="rId20"/>
                    <a:srcRect l="4086" t="4362" r="5251" b="3413"/>
                    <a:stretch>
                      <a:fillRect/>
                    </a:stretch>
                  </pic:blipFill>
                  <pic:spPr>
                    <a:xfrm>
                      <a:off x="0" y="0"/>
                      <a:ext cx="4023995" cy="2894965"/>
                    </a:xfrm>
                    <a:prstGeom prst="rect">
                      <a:avLst/>
                    </a:prstGeom>
                  </pic:spPr>
                </pic:pic>
              </a:graphicData>
            </a:graphic>
          </wp:anchor>
        </w:drawing>
      </w:r>
      <w:r>
        <w:rPr>
          <w:rFonts w:hint="eastAsia" w:ascii="宋体" w:hAnsi="宋体" w:eastAsia="宋体" w:cs="宋体"/>
          <w:b w:val="0"/>
          <w:bCs w:val="0"/>
          <w:sz w:val="28"/>
          <w:szCs w:val="28"/>
          <w:lang w:val="en-US" w:eastAsia="zh-CN"/>
        </w:rPr>
        <w:t>《</w:t>
      </w:r>
      <w:r>
        <w:rPr>
          <w:rFonts w:hint="eastAsia" w:cs="宋体"/>
          <w:b w:val="0"/>
          <w:bCs w:val="0"/>
          <w:sz w:val="28"/>
          <w:szCs w:val="28"/>
          <w:lang w:val="en-US" w:eastAsia="zh-CN"/>
        </w:rPr>
        <w:t>夏县中心城区控制性</w:t>
      </w:r>
      <w:r>
        <w:rPr>
          <w:rFonts w:hint="eastAsia" w:ascii="宋体" w:hAnsi="宋体" w:eastAsia="宋体" w:cs="宋体"/>
          <w:b w:val="0"/>
          <w:bCs w:val="0"/>
          <w:sz w:val="28"/>
          <w:szCs w:val="28"/>
          <w:lang w:val="en-US" w:eastAsia="zh-CN"/>
        </w:rPr>
        <w:t>详细规划》编制于</w:t>
      </w:r>
      <w:r>
        <w:rPr>
          <w:rFonts w:hint="eastAsia" w:cs="宋体"/>
          <w:b w:val="0"/>
          <w:bCs w:val="0"/>
          <w:sz w:val="28"/>
          <w:szCs w:val="28"/>
          <w:lang w:val="en-US" w:eastAsia="zh-CN"/>
        </w:rPr>
        <w:t>2018</w:t>
      </w:r>
      <w:r>
        <w:rPr>
          <w:rFonts w:hint="eastAsia" w:ascii="宋体" w:hAnsi="宋体" w:eastAsia="宋体" w:cs="宋体"/>
          <w:b w:val="0"/>
          <w:bCs w:val="0"/>
          <w:sz w:val="28"/>
          <w:szCs w:val="28"/>
          <w:lang w:val="en-US" w:eastAsia="zh-CN"/>
        </w:rPr>
        <w:t>年，本次修改地块在</w:t>
      </w:r>
      <w:r>
        <w:rPr>
          <w:rFonts w:hint="eastAsia" w:cs="宋体"/>
          <w:b w:val="0"/>
          <w:bCs w:val="0"/>
          <w:sz w:val="28"/>
          <w:szCs w:val="28"/>
          <w:lang w:val="en-US" w:eastAsia="zh-CN"/>
        </w:rPr>
        <w:t>中心城区</w:t>
      </w:r>
      <w:r>
        <w:rPr>
          <w:rFonts w:hint="eastAsia" w:ascii="宋体" w:hAnsi="宋体" w:eastAsia="宋体" w:cs="宋体"/>
          <w:b w:val="0"/>
          <w:bCs w:val="0"/>
          <w:sz w:val="28"/>
          <w:szCs w:val="28"/>
          <w:lang w:val="en-US" w:eastAsia="zh-CN"/>
        </w:rPr>
        <w:t>控规中属于</w:t>
      </w:r>
      <w:r>
        <w:rPr>
          <w:rFonts w:hint="eastAsia" w:cs="宋体"/>
          <w:b w:val="0"/>
          <w:bCs w:val="0"/>
          <w:sz w:val="28"/>
          <w:szCs w:val="28"/>
          <w:lang w:val="en-US" w:eastAsia="zh-CN"/>
        </w:rPr>
        <w:t>A</w:t>
      </w:r>
      <w:r>
        <w:rPr>
          <w:rFonts w:hint="eastAsia" w:ascii="宋体" w:hAnsi="宋体" w:eastAsia="宋体" w:cs="宋体"/>
          <w:b w:val="0"/>
          <w:bCs w:val="0"/>
          <w:sz w:val="28"/>
          <w:szCs w:val="28"/>
          <w:lang w:val="en-US" w:eastAsia="zh-CN"/>
        </w:rPr>
        <w:t>单元，涉及</w:t>
      </w:r>
      <w:r>
        <w:rPr>
          <w:rFonts w:hint="eastAsia" w:cs="宋体"/>
          <w:b w:val="0"/>
          <w:bCs w:val="0"/>
          <w:sz w:val="28"/>
          <w:szCs w:val="28"/>
          <w:lang w:val="en-US" w:eastAsia="zh-CN"/>
        </w:rPr>
        <w:t>A</w:t>
      </w:r>
      <w:r>
        <w:rPr>
          <w:rFonts w:hint="eastAsia" w:ascii="宋体" w:hAnsi="宋体" w:eastAsia="宋体" w:cs="宋体"/>
          <w:b w:val="0"/>
          <w:bCs w:val="0"/>
          <w:sz w:val="28"/>
          <w:szCs w:val="28"/>
          <w:lang w:val="en-US" w:eastAsia="zh-CN"/>
        </w:rPr>
        <w:t>单元中</w:t>
      </w:r>
      <w:r>
        <w:rPr>
          <w:rFonts w:hint="eastAsia" w:cs="宋体"/>
          <w:b w:val="0"/>
          <w:bCs w:val="0"/>
          <w:sz w:val="28"/>
          <w:szCs w:val="28"/>
          <w:lang w:val="en-US" w:eastAsia="zh-CN"/>
        </w:rPr>
        <w:t>N-08</w:t>
      </w:r>
      <w:r>
        <w:rPr>
          <w:rFonts w:hint="eastAsia" w:ascii="宋体" w:hAnsi="宋体" w:eastAsia="宋体" w:cs="宋体"/>
          <w:b w:val="0"/>
          <w:bCs w:val="0"/>
          <w:sz w:val="28"/>
          <w:szCs w:val="28"/>
          <w:lang w:val="en-US" w:eastAsia="zh-CN"/>
        </w:rPr>
        <w:t>片区中的</w:t>
      </w:r>
      <w:r>
        <w:rPr>
          <w:rFonts w:hint="eastAsia" w:cs="宋体"/>
          <w:b w:val="0"/>
          <w:bCs w:val="0"/>
          <w:sz w:val="28"/>
          <w:szCs w:val="28"/>
          <w:lang w:val="en-US" w:eastAsia="zh-CN"/>
        </w:rPr>
        <w:t>A-08-02</w:t>
      </w:r>
      <w:r>
        <w:rPr>
          <w:rFonts w:hint="eastAsia" w:ascii="宋体" w:hAnsi="宋体" w:eastAsia="宋体" w:cs="宋体"/>
          <w:b w:val="0"/>
          <w:bCs w:val="0"/>
          <w:sz w:val="28"/>
          <w:szCs w:val="28"/>
          <w:lang w:val="en-US" w:eastAsia="zh-CN"/>
        </w:rPr>
        <w:t>地块，在</w:t>
      </w:r>
      <w:r>
        <w:rPr>
          <w:rFonts w:hint="eastAsia" w:cs="宋体"/>
          <w:b w:val="0"/>
          <w:bCs w:val="0"/>
          <w:sz w:val="28"/>
          <w:szCs w:val="28"/>
          <w:lang w:val="en-US" w:eastAsia="zh-CN"/>
        </w:rPr>
        <w:t>中心城区</w:t>
      </w:r>
      <w:r>
        <w:rPr>
          <w:rFonts w:hint="eastAsia" w:ascii="宋体" w:hAnsi="宋体" w:eastAsia="宋体" w:cs="宋体"/>
          <w:b w:val="0"/>
          <w:bCs w:val="0"/>
          <w:sz w:val="28"/>
          <w:szCs w:val="28"/>
          <w:lang w:val="en-US" w:eastAsia="zh-CN"/>
        </w:rPr>
        <w:t>控规中</w:t>
      </w:r>
      <w:r>
        <w:rPr>
          <w:rFonts w:hint="eastAsia" w:cs="宋体"/>
          <w:b w:val="0"/>
          <w:bCs w:val="0"/>
          <w:sz w:val="28"/>
          <w:szCs w:val="28"/>
          <w:lang w:val="en-US" w:eastAsia="zh-CN"/>
        </w:rPr>
        <w:t>A-08-02</w:t>
      </w:r>
      <w:r>
        <w:rPr>
          <w:rFonts w:hint="eastAsia" w:ascii="宋体" w:hAnsi="宋体" w:eastAsia="宋体" w:cs="宋体"/>
          <w:b w:val="0"/>
          <w:bCs w:val="0"/>
          <w:sz w:val="28"/>
          <w:szCs w:val="28"/>
          <w:lang w:val="en-US" w:eastAsia="zh-CN"/>
        </w:rPr>
        <w:t>用地性质为</w:t>
      </w:r>
      <w:r>
        <w:rPr>
          <w:rFonts w:hint="eastAsia" w:cs="宋体"/>
          <w:b w:val="0"/>
          <w:bCs w:val="0"/>
          <w:sz w:val="28"/>
          <w:szCs w:val="28"/>
          <w:lang w:val="en-US" w:eastAsia="zh-CN"/>
        </w:rPr>
        <w:t>零售商业用地。</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1142" w:firstLineChars="0"/>
        <w:textAlignment w:val="auto"/>
        <w:rPr>
          <w:rFonts w:hint="eastAsia"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cs="宋体"/>
          <w:b w:val="0"/>
          <w:bCs w:val="0"/>
          <w:sz w:val="28"/>
          <w:szCs w:val="28"/>
          <w:lang w:val="en-US" w:eastAsia="zh-CN"/>
        </w:rPr>
      </w:pPr>
    </w:p>
    <w:p>
      <w:pPr>
        <w:pageBreakBefore w:val="0"/>
        <w:widowControl w:val="0"/>
        <w:kinsoku/>
        <w:wordWrap/>
        <w:overflowPunct/>
        <w:topLinePunct w:val="0"/>
        <w:autoSpaceDE/>
        <w:autoSpaceDN/>
        <w:bidi w:val="0"/>
        <w:adjustRightInd/>
        <w:snapToGrid/>
        <w:spacing w:line="540" w:lineRule="exact"/>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jc w:val="center"/>
        <w:textAlignment w:val="auto"/>
        <w:outlineLvl w:val="9"/>
        <w:rPr>
          <w:rFonts w:hint="default" w:cs="宋体"/>
          <w:b/>
          <w:bCs w:val="0"/>
          <w:color w:val="auto"/>
          <w:sz w:val="20"/>
          <w:szCs w:val="20"/>
          <w:u w:val="single"/>
          <w:lang w:val="en-US" w:eastAsia="zh-CN"/>
        </w:rPr>
      </w:pPr>
      <w:r>
        <w:rPr>
          <w:rFonts w:hint="eastAsia" w:cs="宋体"/>
          <w:b/>
          <w:bCs w:val="0"/>
          <w:color w:val="auto"/>
          <w:sz w:val="20"/>
          <w:szCs w:val="20"/>
          <w:u w:val="single"/>
          <w:lang w:eastAsia="zh-CN"/>
        </w:rPr>
        <w:t>图</w:t>
      </w:r>
      <w:r>
        <w:rPr>
          <w:rFonts w:hint="eastAsia" w:cs="宋体"/>
          <w:b/>
          <w:bCs w:val="0"/>
          <w:color w:val="auto"/>
          <w:sz w:val="20"/>
          <w:szCs w:val="20"/>
          <w:u w:val="single"/>
          <w:lang w:val="en-US" w:eastAsia="zh-CN"/>
        </w:rPr>
        <w:t>3-1《夏县中心城区控制性详细规划》A-08地块分图图则</w:t>
      </w:r>
    </w:p>
    <w:p>
      <w:pPr>
        <w:rPr>
          <w:rFonts w:hint="eastAsia" w:cs="宋体"/>
          <w:b/>
          <w:bCs/>
          <w:color w:val="000000"/>
          <w:sz w:val="30"/>
          <w:szCs w:val="30"/>
          <w:lang w:val="en-US" w:eastAsia="zh-CN"/>
        </w:rPr>
      </w:pPr>
      <w:bookmarkStart w:id="52" w:name="_Toc20421"/>
      <w:r>
        <w:rPr>
          <w:rFonts w:hint="eastAsia" w:cs="宋体"/>
          <w:b/>
          <w:bCs/>
          <w:color w:val="000000"/>
          <w:sz w:val="30"/>
          <w:szCs w:val="30"/>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cs="宋体"/>
          <w:b/>
          <w:bCs/>
          <w:color w:val="000000"/>
          <w:sz w:val="30"/>
          <w:szCs w:val="30"/>
          <w:lang w:val="en-US" w:eastAsia="zh-CN"/>
        </w:rPr>
      </w:pPr>
      <w:bookmarkStart w:id="53" w:name="_Toc22511"/>
      <w:r>
        <w:rPr>
          <w:rFonts w:hint="eastAsia" w:cs="宋体"/>
          <w:b/>
          <w:bCs/>
          <w:color w:val="000000"/>
          <w:sz w:val="30"/>
          <w:szCs w:val="30"/>
          <w:lang w:val="en-US" w:eastAsia="zh-CN"/>
        </w:rPr>
        <w:t>二、《夏县国土空间总体规划（2021-2035年）》相关内容</w:t>
      </w:r>
      <w:bookmarkEnd w:id="53"/>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lang w:eastAsia="zh-CN"/>
        </w:rPr>
      </w:pPr>
      <w:r>
        <w:rPr>
          <w:rFonts w:hint="eastAsia" w:ascii="宋体" w:hAnsi="宋体" w:eastAsia="宋体" w:cs="宋体"/>
          <w:b/>
          <w:color w:val="000000"/>
          <w:sz w:val="32"/>
          <w:szCs w:val="32"/>
          <w:lang w:eastAsia="zh-CN"/>
        </w:rPr>
        <w:drawing>
          <wp:anchor distT="0" distB="0" distL="114300" distR="114300" simplePos="0" relativeHeight="251662336" behindDoc="1" locked="0" layoutInCell="1" allowOverlap="1">
            <wp:simplePos x="0" y="0"/>
            <wp:positionH relativeFrom="column">
              <wp:posOffset>647700</wp:posOffset>
            </wp:positionH>
            <wp:positionV relativeFrom="paragraph">
              <wp:posOffset>83820</wp:posOffset>
            </wp:positionV>
            <wp:extent cx="4143375" cy="3058795"/>
            <wp:effectExtent l="9525" t="9525" r="19050" b="17780"/>
            <wp:wrapNone/>
            <wp:docPr id="1" name="图片 1" descr="5-项目用地在《运城市夏县国土空间总体规划》的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项目用地在《运城市夏县国土空间总体规划》的位置图"/>
                    <pic:cNvPicPr>
                      <a:picLocks noChangeAspect="1"/>
                    </pic:cNvPicPr>
                  </pic:nvPicPr>
                  <pic:blipFill>
                    <a:blip r:embed="rId21"/>
                    <a:srcRect l="13046" t="16065" r="18957" b="12968"/>
                    <a:stretch>
                      <a:fillRect/>
                    </a:stretch>
                  </pic:blipFill>
                  <pic:spPr>
                    <a:xfrm>
                      <a:off x="0" y="0"/>
                      <a:ext cx="4143375" cy="3058795"/>
                    </a:xfrm>
                    <a:prstGeom prst="rect">
                      <a:avLst/>
                    </a:prstGeom>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default" w:ascii="宋体" w:hAnsi="宋体" w:eastAsia="宋体" w:cs="宋体"/>
          <w:b/>
          <w:color w:val="000000"/>
          <w:sz w:val="32"/>
          <w:szCs w:val="32"/>
          <w:lang w:val="en-US"/>
        </w:rPr>
      </w:pPr>
      <w:r>
        <w:rPr>
          <w:rFonts w:hint="eastAsia" w:cs="宋体"/>
          <w:b/>
          <w:bCs w:val="0"/>
          <w:color w:val="auto"/>
          <w:sz w:val="20"/>
          <w:szCs w:val="20"/>
          <w:u w:val="single"/>
          <w:lang w:eastAsia="zh-CN"/>
        </w:rPr>
        <w:t>图</w:t>
      </w:r>
      <w:r>
        <w:rPr>
          <w:rFonts w:hint="eastAsia" w:cs="宋体"/>
          <w:b/>
          <w:bCs w:val="0"/>
          <w:color w:val="auto"/>
          <w:sz w:val="20"/>
          <w:szCs w:val="20"/>
          <w:u w:val="single"/>
          <w:lang w:val="en-US" w:eastAsia="zh-CN"/>
        </w:rPr>
        <w:t>3-2《夏县国土空间总体规划（2021-2035年）》-中心城区土地使用规划图</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A-08-02地块位于中心城区新建北路东侧，</w:t>
      </w:r>
      <w:r>
        <w:rPr>
          <w:rFonts w:hint="eastAsia" w:cs="宋体"/>
          <w:b w:val="0"/>
          <w:bCs w:val="0"/>
          <w:sz w:val="28"/>
          <w:szCs w:val="28"/>
          <w:lang w:val="en-US" w:eastAsia="zh-CN"/>
        </w:rPr>
        <w:t>在中心城区土地使用规划图有部分住宅用地，不占用规划道路。由于住宅用地不属于总体规划的强制性条款，因此该地块调整与《夏县国土空间总体规划（2021-2035年）》不冲突。</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宋体" w:hAnsi="宋体" w:eastAsia="宋体" w:cs="宋体"/>
          <w:b/>
          <w:color w:val="000000"/>
          <w:sz w:val="32"/>
          <w:szCs w:val="32"/>
        </w:rPr>
      </w:pPr>
      <w:bookmarkStart w:id="54" w:name="_Toc5410"/>
      <w:r>
        <w:rPr>
          <w:rFonts w:hint="eastAsia" w:ascii="宋体" w:hAnsi="宋体" w:eastAsia="宋体" w:cs="宋体"/>
          <w:b/>
          <w:color w:val="000000"/>
          <w:sz w:val="32"/>
          <w:szCs w:val="32"/>
        </w:rPr>
        <w:t>第</w:t>
      </w:r>
      <w:r>
        <w:rPr>
          <w:rFonts w:hint="eastAsia" w:ascii="宋体" w:hAnsi="宋体" w:eastAsia="宋体" w:cs="宋体"/>
          <w:b/>
          <w:color w:val="000000"/>
          <w:sz w:val="32"/>
          <w:szCs w:val="32"/>
          <w:lang w:val="en-US" w:eastAsia="zh-CN"/>
        </w:rPr>
        <w:t>四</w:t>
      </w:r>
      <w:r>
        <w:rPr>
          <w:rFonts w:hint="eastAsia" w:ascii="宋体" w:hAnsi="宋体" w:eastAsia="宋体" w:cs="宋体"/>
          <w:b/>
          <w:color w:val="000000"/>
          <w:sz w:val="32"/>
          <w:szCs w:val="32"/>
        </w:rPr>
        <w:t xml:space="preserve">章   </w:t>
      </w:r>
      <w:bookmarkEnd w:id="51"/>
      <w:r>
        <w:rPr>
          <w:rFonts w:hint="eastAsia" w:ascii="宋体" w:hAnsi="宋体" w:eastAsia="宋体" w:cs="宋体"/>
          <w:b/>
          <w:color w:val="000000"/>
          <w:sz w:val="32"/>
          <w:szCs w:val="32"/>
        </w:rPr>
        <w:t>规划</w:t>
      </w:r>
      <w:r>
        <w:rPr>
          <w:rFonts w:hint="eastAsia" w:ascii="宋体" w:hAnsi="宋体" w:eastAsia="宋体" w:cs="宋体"/>
          <w:b/>
          <w:color w:val="000000"/>
          <w:sz w:val="32"/>
          <w:szCs w:val="32"/>
          <w:lang w:val="en-US" w:eastAsia="zh-CN"/>
        </w:rPr>
        <w:t>修改</w:t>
      </w:r>
      <w:r>
        <w:rPr>
          <w:rFonts w:hint="eastAsia" w:ascii="宋体" w:hAnsi="宋体" w:eastAsia="宋体" w:cs="宋体"/>
          <w:b/>
          <w:color w:val="000000"/>
          <w:sz w:val="32"/>
          <w:szCs w:val="32"/>
          <w:lang w:eastAsia="zh-CN"/>
        </w:rPr>
        <w:t>方案</w:t>
      </w:r>
      <w:bookmarkEnd w:id="52"/>
      <w:bookmarkEnd w:id="54"/>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0"/>
        <w:rPr>
          <w:rFonts w:hint="eastAsia" w:ascii="宋体" w:hAnsi="宋体" w:eastAsia="宋体" w:cs="宋体"/>
          <w:b/>
          <w:color w:val="000000"/>
          <w:sz w:val="30"/>
          <w:szCs w:val="30"/>
        </w:rPr>
      </w:pPr>
      <w:bookmarkStart w:id="55" w:name="_Toc11646"/>
    </w:p>
    <w:bookmarkEnd w:id="55"/>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bookmarkStart w:id="56" w:name="_Toc17848"/>
      <w:bookmarkStart w:id="57" w:name="_Toc11905"/>
      <w:bookmarkStart w:id="58" w:name="_Toc9455"/>
      <w:bookmarkStart w:id="59" w:name="_Toc26777"/>
      <w:r>
        <w:rPr>
          <w:rFonts w:hint="eastAsia" w:cs="宋体"/>
          <w:b/>
          <w:bCs w:val="0"/>
          <w:color w:val="000000"/>
          <w:sz w:val="30"/>
          <w:szCs w:val="30"/>
          <w:lang w:val="en-US" w:eastAsia="zh-CN"/>
        </w:rPr>
        <w:t>地块划分和编号</w:t>
      </w:r>
      <w:bookmarkEnd w:id="56"/>
      <w:bookmarkEnd w:id="57"/>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rPr>
      </w:pPr>
      <w:r>
        <w:rPr>
          <w:rFonts w:hint="eastAsia" w:ascii="宋体" w:hAnsi="宋体" w:cs="宋体"/>
          <w:bCs/>
          <w:color w:val="000000"/>
          <w:spacing w:val="10"/>
          <w:sz w:val="28"/>
          <w:szCs w:val="28"/>
        </w:rPr>
        <w:t>项目用地土地使用性质分类采用</w:t>
      </w:r>
      <w:r>
        <w:rPr>
          <w:rFonts w:hint="eastAsia" w:cs="宋体"/>
          <w:bCs/>
          <w:color w:val="000000"/>
          <w:spacing w:val="10"/>
          <w:sz w:val="28"/>
          <w:szCs w:val="28"/>
          <w:lang w:val="en-US" w:eastAsia="zh-CN"/>
        </w:rPr>
        <w:t>《国土空间调查、规划、用途管制用地用海分类指南》（2023年）</w:t>
      </w:r>
      <w:r>
        <w:rPr>
          <w:rFonts w:hint="eastAsia" w:ascii="宋体" w:hAnsi="宋体" w:cs="宋体"/>
          <w:bCs/>
          <w:color w:val="000000"/>
          <w:spacing w:val="10"/>
          <w:sz w:val="28"/>
          <w:szCs w:val="28"/>
        </w:rPr>
        <w:t>的规定。</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
          <w:bCs w:val="0"/>
          <w:color w:val="000000"/>
          <w:spacing w:val="10"/>
          <w:sz w:val="28"/>
          <w:szCs w:val="28"/>
          <w:highlight w:val="none"/>
        </w:rPr>
      </w:pPr>
      <w:r>
        <w:rPr>
          <w:rFonts w:hint="eastAsia" w:ascii="宋体" w:hAnsi="宋体" w:cs="宋体"/>
          <w:bCs/>
          <w:color w:val="000000"/>
          <w:spacing w:val="10"/>
          <w:sz w:val="28"/>
          <w:szCs w:val="28"/>
          <w:highlight w:val="none"/>
          <w:lang w:val="en-US" w:eastAsia="zh-CN"/>
        </w:rPr>
        <w:t>编号</w:t>
      </w:r>
      <w:r>
        <w:rPr>
          <w:rFonts w:hint="eastAsia" w:cs="宋体"/>
          <w:bCs/>
          <w:color w:val="000000"/>
          <w:spacing w:val="10"/>
          <w:sz w:val="28"/>
          <w:szCs w:val="28"/>
          <w:highlight w:val="none"/>
          <w:lang w:val="en-US" w:eastAsia="zh-CN"/>
        </w:rPr>
        <w:t>沿</w:t>
      </w:r>
      <w:r>
        <w:rPr>
          <w:rFonts w:hint="eastAsia" w:ascii="宋体" w:hAnsi="宋体" w:cs="宋体"/>
          <w:bCs/>
          <w:color w:val="000000"/>
          <w:spacing w:val="10"/>
          <w:sz w:val="28"/>
          <w:szCs w:val="28"/>
          <w:highlight w:val="none"/>
          <w:lang w:val="en-US" w:eastAsia="zh-CN"/>
        </w:rPr>
        <w:t>用原控规编号方式，</w:t>
      </w:r>
      <w:r>
        <w:rPr>
          <w:rFonts w:hint="eastAsia" w:cs="宋体"/>
          <w:bCs/>
          <w:color w:val="000000"/>
          <w:spacing w:val="10"/>
          <w:sz w:val="28"/>
          <w:szCs w:val="28"/>
          <w:highlight w:val="none"/>
          <w:lang w:val="en-US" w:eastAsia="zh-CN"/>
        </w:rPr>
        <w:t>将</w:t>
      </w:r>
      <w:r>
        <w:rPr>
          <w:rFonts w:hint="eastAsia" w:cs="宋体"/>
          <w:b/>
          <w:bCs/>
          <w:sz w:val="28"/>
          <w:szCs w:val="28"/>
          <w:lang w:val="en-US" w:eastAsia="zh-CN"/>
        </w:rPr>
        <w:t>A-08-02地块</w:t>
      </w:r>
      <w:r>
        <w:rPr>
          <w:rFonts w:hint="eastAsia" w:cs="宋体"/>
          <w:b w:val="0"/>
          <w:bCs w:val="0"/>
          <w:sz w:val="28"/>
          <w:szCs w:val="28"/>
          <w:lang w:val="en-US" w:eastAsia="zh-CN"/>
        </w:rPr>
        <w:t>分为</w:t>
      </w:r>
      <w:r>
        <w:rPr>
          <w:rFonts w:hint="eastAsia" w:cs="宋体"/>
          <w:b/>
          <w:bCs/>
          <w:sz w:val="28"/>
          <w:szCs w:val="28"/>
          <w:lang w:val="en-US" w:eastAsia="zh-CN"/>
        </w:rPr>
        <w:t>A-08-02地块</w:t>
      </w:r>
      <w:r>
        <w:rPr>
          <w:rFonts w:hint="eastAsia" w:cs="宋体"/>
          <w:b w:val="0"/>
          <w:bCs w:val="0"/>
          <w:sz w:val="28"/>
          <w:szCs w:val="28"/>
          <w:lang w:val="en-US" w:eastAsia="zh-CN"/>
        </w:rPr>
        <w:t>与</w:t>
      </w:r>
      <w:r>
        <w:rPr>
          <w:rFonts w:hint="eastAsia" w:cs="宋体"/>
          <w:b/>
          <w:bCs/>
          <w:sz w:val="28"/>
          <w:szCs w:val="28"/>
          <w:lang w:val="en-US" w:eastAsia="zh-CN"/>
        </w:rPr>
        <w:t>A-08-07地块</w:t>
      </w:r>
      <w:r>
        <w:rPr>
          <w:rFonts w:hint="eastAsia" w:cs="宋体"/>
          <w:b w:val="0"/>
          <w:bCs w:val="0"/>
          <w:sz w:val="28"/>
          <w:szCs w:val="28"/>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bookmarkStart w:id="60" w:name="_Toc2458"/>
      <w:bookmarkStart w:id="61" w:name="_Toc15997"/>
      <w:bookmarkStart w:id="62" w:name="_Toc5580"/>
      <w:bookmarkStart w:id="63" w:name="_Toc16028"/>
      <w:bookmarkStart w:id="64" w:name="_Toc31139"/>
      <w:r>
        <w:rPr>
          <w:rFonts w:hint="eastAsia" w:cs="宋体"/>
          <w:b/>
          <w:bCs w:val="0"/>
          <w:color w:val="000000"/>
          <w:sz w:val="30"/>
          <w:szCs w:val="30"/>
          <w:lang w:val="en-US" w:eastAsia="zh-CN"/>
        </w:rPr>
        <w:t>用地性质</w:t>
      </w:r>
      <w:bookmarkEnd w:id="60"/>
      <w:bookmarkEnd w:id="61"/>
      <w:r>
        <w:rPr>
          <w:rFonts w:hint="eastAsia" w:cs="宋体"/>
          <w:b/>
          <w:bCs w:val="0"/>
          <w:color w:val="000000"/>
          <w:sz w:val="30"/>
          <w:szCs w:val="30"/>
          <w:lang w:val="en-US" w:eastAsia="zh-CN"/>
        </w:rPr>
        <w:t>调整</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rPr>
      </w:pPr>
      <w:r>
        <w:rPr>
          <w:rFonts w:hint="eastAsia" w:ascii="宋体" w:hAnsi="宋体" w:cs="宋体"/>
          <w:bCs/>
          <w:color w:val="000000"/>
          <w:spacing w:val="10"/>
          <w:sz w:val="28"/>
          <w:szCs w:val="28"/>
        </w:rPr>
        <w:t>项目用地土地使用性质分类代号采用</w:t>
      </w:r>
      <w:r>
        <w:rPr>
          <w:rFonts w:hint="eastAsia" w:cs="宋体"/>
          <w:bCs/>
          <w:color w:val="000000"/>
          <w:spacing w:val="10"/>
          <w:sz w:val="28"/>
          <w:szCs w:val="28"/>
          <w:lang w:val="en-US" w:eastAsia="zh-CN"/>
        </w:rPr>
        <w:t>《国土空间调查、规划、用途管制用地用海分类指南》（2023年）</w:t>
      </w:r>
      <w:r>
        <w:rPr>
          <w:rFonts w:hint="eastAsia" w:ascii="宋体" w:hAnsi="宋体" w:cs="宋体"/>
          <w:bCs/>
          <w:color w:val="000000"/>
          <w:spacing w:val="10"/>
          <w:sz w:val="28"/>
          <w:szCs w:val="28"/>
        </w:rPr>
        <w:t>的规定。</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9"/>
        <w:rPr>
          <w:rFonts w:hint="eastAsia" w:ascii="宋体" w:hAnsi="宋体" w:cs="宋体"/>
          <w:b/>
          <w:bCs w:val="0"/>
          <w:color w:val="000000"/>
          <w:spacing w:val="10"/>
          <w:sz w:val="28"/>
          <w:szCs w:val="28"/>
          <w:highlight w:val="none"/>
          <w:lang w:val="en-US" w:eastAsia="zh-CN"/>
        </w:rPr>
      </w:pPr>
      <w:r>
        <w:rPr>
          <w:rFonts w:hint="eastAsia" w:cs="宋体"/>
          <w:b/>
          <w:bCs w:val="0"/>
          <w:color w:val="000000"/>
          <w:spacing w:val="10"/>
          <w:sz w:val="28"/>
          <w:szCs w:val="28"/>
          <w:highlight w:val="none"/>
          <w:lang w:val="en-US" w:eastAsia="zh-CN"/>
        </w:rPr>
        <w:t>A-08-02、A-08-07</w:t>
      </w:r>
      <w:r>
        <w:rPr>
          <w:rFonts w:hint="eastAsia" w:ascii="宋体" w:hAnsi="宋体" w:cs="宋体"/>
          <w:b/>
          <w:bCs w:val="0"/>
          <w:color w:val="000000"/>
          <w:spacing w:val="10"/>
          <w:sz w:val="28"/>
          <w:szCs w:val="28"/>
          <w:highlight w:val="none"/>
          <w:lang w:val="en-US" w:eastAsia="zh-CN"/>
        </w:rPr>
        <w:t>地块</w:t>
      </w:r>
      <w:r>
        <w:rPr>
          <w:rFonts w:hint="eastAsia" w:cs="宋体"/>
          <w:b/>
          <w:bCs w:val="0"/>
          <w:color w:val="000000"/>
          <w:spacing w:val="10"/>
          <w:sz w:val="28"/>
          <w:szCs w:val="28"/>
          <w:highlight w:val="none"/>
          <w:lang w:val="en-US" w:eastAsia="zh-CN"/>
        </w:rPr>
        <w:t>用地性质不变，为零售商业用地（090101）；</w:t>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bookmarkStart w:id="65" w:name="_Toc13513"/>
      <w:bookmarkStart w:id="66" w:name="_Toc32737"/>
      <w:bookmarkStart w:id="67" w:name="_Toc11942"/>
      <w:r>
        <w:rPr>
          <w:rFonts w:hint="eastAsia" w:cs="宋体"/>
          <w:b/>
          <w:bCs w:val="0"/>
          <w:color w:val="000000"/>
          <w:sz w:val="30"/>
          <w:szCs w:val="30"/>
          <w:lang w:val="en-US" w:eastAsia="zh-CN"/>
        </w:rPr>
        <w:t>用地规模</w:t>
      </w:r>
      <w:bookmarkEnd w:id="65"/>
      <w:r>
        <w:rPr>
          <w:rFonts w:hint="eastAsia" w:cs="宋体"/>
          <w:b/>
          <w:bCs w:val="0"/>
          <w:color w:val="000000"/>
          <w:sz w:val="30"/>
          <w:szCs w:val="30"/>
          <w:lang w:val="en-US" w:eastAsia="zh-CN"/>
        </w:rPr>
        <w:t>调整</w:t>
      </w:r>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宋体" w:hAnsi="宋体" w:cs="宋体"/>
          <w:bCs/>
          <w:color w:val="000000"/>
          <w:spacing w:val="10"/>
          <w:sz w:val="28"/>
          <w:szCs w:val="28"/>
          <w:highlight w:val="none"/>
          <w:lang w:val="en-US" w:eastAsia="zh-CN"/>
        </w:rPr>
      </w:pPr>
      <w:r>
        <w:rPr>
          <w:rFonts w:hint="eastAsia" w:ascii="宋体" w:hAnsi="宋体" w:cs="宋体"/>
          <w:bCs/>
          <w:color w:val="000000"/>
          <w:spacing w:val="10"/>
          <w:sz w:val="28"/>
          <w:szCs w:val="28"/>
        </w:rPr>
        <w:t>项目用地总规模为</w:t>
      </w:r>
      <w:r>
        <w:rPr>
          <w:rFonts w:hint="eastAsia" w:cs="宋体"/>
          <w:bCs/>
          <w:color w:val="000000"/>
          <w:spacing w:val="10"/>
          <w:sz w:val="28"/>
          <w:szCs w:val="28"/>
          <w:lang w:val="en-US" w:eastAsia="zh-CN"/>
        </w:rPr>
        <w:t>0.72</w:t>
      </w:r>
      <w:r>
        <w:rPr>
          <w:rFonts w:hint="eastAsia" w:ascii="宋体" w:hAnsi="宋体" w:cs="宋体"/>
          <w:bCs/>
          <w:color w:val="000000"/>
          <w:spacing w:val="10"/>
          <w:sz w:val="28"/>
          <w:szCs w:val="28"/>
        </w:rPr>
        <w:t>公顷。</w:t>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bookmarkStart w:id="68" w:name="_Toc19863"/>
      <w:bookmarkStart w:id="69" w:name="_Toc29490"/>
      <w:r>
        <w:rPr>
          <w:rFonts w:hint="eastAsia" w:cs="宋体"/>
          <w:b/>
          <w:bCs w:val="0"/>
          <w:color w:val="000000"/>
          <w:sz w:val="30"/>
          <w:szCs w:val="30"/>
          <w:lang w:val="en-US" w:eastAsia="zh-CN"/>
        </w:rPr>
        <w:t>调整前后对比</w:t>
      </w:r>
      <w:bookmarkEnd w:id="68"/>
      <w:bookmarkEnd w:id="69"/>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rPr>
      </w:pPr>
      <w:r>
        <w:rPr>
          <w:rFonts w:hint="eastAsia" w:ascii="宋体" w:hAnsi="宋体" w:cs="宋体"/>
          <w:bCs/>
          <w:color w:val="000000"/>
          <w:spacing w:val="10"/>
          <w:sz w:val="28"/>
          <w:szCs w:val="28"/>
          <w:highlight w:val="none"/>
        </w:rPr>
        <w:t>项目用地控规修改前后</w:t>
      </w:r>
      <w:r>
        <w:rPr>
          <w:rFonts w:hint="eastAsia" w:ascii="宋体" w:hAnsi="宋体" w:cs="宋体"/>
          <w:bCs/>
          <w:color w:val="000000"/>
          <w:spacing w:val="10"/>
          <w:sz w:val="28"/>
          <w:szCs w:val="28"/>
          <w:highlight w:val="none"/>
          <w:lang w:eastAsia="zh-CN"/>
        </w:rPr>
        <w:t>规划编号、用地规模和</w:t>
      </w:r>
      <w:r>
        <w:rPr>
          <w:rFonts w:hint="eastAsia" w:ascii="宋体" w:hAnsi="宋体" w:cs="宋体"/>
          <w:bCs/>
          <w:color w:val="000000"/>
          <w:spacing w:val="10"/>
          <w:sz w:val="28"/>
          <w:szCs w:val="28"/>
          <w:highlight w:val="none"/>
        </w:rPr>
        <w:t>控制指标如下表所示。</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cs="宋体"/>
          <w:b/>
          <w:bCs w:val="0"/>
          <w:color w:val="000000"/>
          <w:spacing w:val="10"/>
          <w:sz w:val="24"/>
          <w:szCs w:val="24"/>
          <w:lang w:val="en-US" w:eastAsia="zh-CN"/>
        </w:rPr>
      </w:pPr>
      <w:r>
        <w:rPr>
          <w:rFonts w:hint="eastAsia" w:cs="宋体"/>
          <w:b/>
          <w:bCs w:val="0"/>
          <w:color w:val="000000"/>
          <w:spacing w:val="10"/>
          <w:sz w:val="24"/>
          <w:szCs w:val="24"/>
          <w:lang w:val="en-US" w:eastAsia="zh-CN"/>
        </w:rPr>
        <w:t>项目用地修改前后规划编号、用地规模、用地性质对比一览表</w:t>
      </w:r>
    </w:p>
    <w:tbl>
      <w:tblPr>
        <w:tblStyle w:val="18"/>
        <w:tblW w:w="7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54"/>
        <w:gridCol w:w="1245"/>
        <w:gridCol w:w="1411"/>
        <w:gridCol w:w="1412"/>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1198"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sz w:val="24"/>
                <w:szCs w:val="24"/>
                <w:lang w:eastAsia="zh-CN"/>
              </w:rPr>
            </w:pPr>
            <w:r>
              <w:rPr>
                <w:rFonts w:hint="eastAsia" w:ascii="宋体" w:hAnsi="宋体" w:cs="宋体"/>
                <w:bCs/>
                <w:color w:val="000000"/>
                <w:spacing w:val="10"/>
                <w:sz w:val="24"/>
                <w:szCs w:val="24"/>
                <w:highlight w:val="none"/>
                <w:lang w:eastAsia="zh-CN"/>
              </w:rPr>
              <w:t>修改前编号</w:t>
            </w:r>
          </w:p>
        </w:tc>
        <w:tc>
          <w:tcPr>
            <w:tcW w:w="1154"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Cs/>
                <w:color w:val="000000"/>
                <w:spacing w:val="10"/>
                <w:sz w:val="24"/>
                <w:szCs w:val="24"/>
                <w:highlight w:val="none"/>
                <w:lang w:eastAsia="zh-CN"/>
              </w:rPr>
            </w:pPr>
            <w:r>
              <w:rPr>
                <w:rFonts w:hint="eastAsia" w:ascii="宋体" w:hAnsi="宋体" w:cs="宋体"/>
                <w:bCs/>
                <w:color w:val="000000"/>
                <w:spacing w:val="10"/>
                <w:sz w:val="24"/>
                <w:szCs w:val="24"/>
                <w:highlight w:val="none"/>
                <w:lang w:eastAsia="zh-CN"/>
              </w:rPr>
              <w:t>修改前用地规模（</w:t>
            </w:r>
            <w:r>
              <w:rPr>
                <w:rFonts w:hint="eastAsia" w:ascii="宋体" w:hAnsi="宋体" w:cs="宋体"/>
                <w:bCs/>
                <w:color w:val="000000"/>
                <w:spacing w:val="10"/>
                <w:sz w:val="24"/>
                <w:szCs w:val="24"/>
                <w:highlight w:val="none"/>
                <w:lang w:val="en-US" w:eastAsia="zh-CN"/>
              </w:rPr>
              <w:t>ha</w:t>
            </w:r>
            <w:r>
              <w:rPr>
                <w:rFonts w:hint="eastAsia" w:ascii="宋体" w:hAnsi="宋体" w:cs="宋体"/>
                <w:bCs/>
                <w:color w:val="000000"/>
                <w:spacing w:val="10"/>
                <w:sz w:val="24"/>
                <w:szCs w:val="24"/>
                <w:highlight w:val="none"/>
                <w:lang w:eastAsia="zh-CN"/>
              </w:rPr>
              <w:t>）</w:t>
            </w:r>
          </w:p>
        </w:tc>
        <w:tc>
          <w:tcPr>
            <w:tcW w:w="1245"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Cs/>
                <w:color w:val="000000"/>
                <w:spacing w:val="10"/>
                <w:sz w:val="24"/>
                <w:szCs w:val="24"/>
                <w:highlight w:val="none"/>
                <w:lang w:eastAsia="zh-CN"/>
              </w:rPr>
            </w:pPr>
            <w:r>
              <w:rPr>
                <w:rFonts w:hint="eastAsia" w:ascii="宋体" w:hAnsi="宋体" w:cs="宋体"/>
                <w:bCs/>
                <w:color w:val="000000"/>
                <w:spacing w:val="10"/>
                <w:sz w:val="24"/>
                <w:szCs w:val="24"/>
                <w:highlight w:val="none"/>
                <w:lang w:eastAsia="zh-CN"/>
              </w:rPr>
              <w:t>修改前</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Cs/>
                <w:color w:val="000000"/>
                <w:spacing w:val="10"/>
                <w:sz w:val="24"/>
                <w:szCs w:val="24"/>
                <w:highlight w:val="none"/>
                <w:lang w:eastAsia="zh-CN"/>
              </w:rPr>
            </w:pPr>
            <w:r>
              <w:rPr>
                <w:rFonts w:hint="eastAsia" w:ascii="宋体" w:hAnsi="宋体" w:cs="宋体"/>
                <w:bCs/>
                <w:color w:val="000000"/>
                <w:spacing w:val="10"/>
                <w:sz w:val="24"/>
                <w:szCs w:val="24"/>
                <w:highlight w:val="none"/>
                <w:lang w:eastAsia="zh-CN"/>
              </w:rPr>
              <w:t>用地</w:t>
            </w:r>
            <w:r>
              <w:rPr>
                <w:rFonts w:hint="eastAsia" w:ascii="宋体" w:hAnsi="宋体" w:cs="宋体"/>
                <w:bCs/>
                <w:color w:val="000000"/>
                <w:spacing w:val="10"/>
                <w:sz w:val="24"/>
                <w:szCs w:val="24"/>
                <w:highlight w:val="none"/>
                <w:lang w:val="en-US" w:eastAsia="zh-CN"/>
              </w:rPr>
              <w:t>性质</w:t>
            </w:r>
          </w:p>
        </w:tc>
        <w:tc>
          <w:tcPr>
            <w:tcW w:w="1411"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Cs/>
                <w:color w:val="000000"/>
                <w:spacing w:val="10"/>
                <w:sz w:val="24"/>
                <w:szCs w:val="24"/>
                <w:highlight w:val="none"/>
                <w:lang w:eastAsia="zh-CN"/>
              </w:rPr>
            </w:pPr>
            <w:r>
              <w:rPr>
                <w:rFonts w:hint="eastAsia" w:ascii="宋体" w:hAnsi="宋体" w:cs="宋体"/>
                <w:bCs/>
                <w:color w:val="000000"/>
                <w:spacing w:val="10"/>
                <w:sz w:val="24"/>
                <w:szCs w:val="24"/>
                <w:highlight w:val="none"/>
                <w:lang w:eastAsia="zh-CN"/>
              </w:rPr>
              <w:t>修改后编号</w:t>
            </w:r>
          </w:p>
        </w:tc>
        <w:tc>
          <w:tcPr>
            <w:tcW w:w="1412"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Cs/>
                <w:color w:val="000000"/>
                <w:spacing w:val="10"/>
                <w:sz w:val="24"/>
                <w:szCs w:val="24"/>
                <w:highlight w:val="none"/>
                <w:lang w:eastAsia="zh-CN"/>
              </w:rPr>
            </w:pPr>
            <w:r>
              <w:rPr>
                <w:rFonts w:hint="eastAsia" w:ascii="宋体" w:hAnsi="宋体" w:cs="宋体"/>
                <w:bCs/>
                <w:color w:val="000000"/>
                <w:spacing w:val="10"/>
                <w:sz w:val="24"/>
                <w:szCs w:val="24"/>
                <w:highlight w:val="none"/>
                <w:lang w:eastAsia="zh-CN"/>
              </w:rPr>
              <w:t>修改后用地规模（</w:t>
            </w:r>
            <w:r>
              <w:rPr>
                <w:rFonts w:hint="eastAsia" w:ascii="宋体" w:hAnsi="宋体" w:cs="宋体"/>
                <w:bCs/>
                <w:color w:val="000000"/>
                <w:spacing w:val="10"/>
                <w:sz w:val="24"/>
                <w:szCs w:val="24"/>
                <w:highlight w:val="none"/>
                <w:lang w:val="en-US" w:eastAsia="zh-CN"/>
              </w:rPr>
              <w:t>ha</w:t>
            </w:r>
            <w:r>
              <w:rPr>
                <w:rFonts w:hint="eastAsia" w:ascii="宋体" w:hAnsi="宋体" w:cs="宋体"/>
                <w:bCs/>
                <w:color w:val="000000"/>
                <w:spacing w:val="10"/>
                <w:sz w:val="24"/>
                <w:szCs w:val="24"/>
                <w:highlight w:val="none"/>
                <w:lang w:eastAsia="zh-CN"/>
              </w:rPr>
              <w:t>）</w:t>
            </w:r>
          </w:p>
        </w:tc>
        <w:tc>
          <w:tcPr>
            <w:tcW w:w="1412"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Cs/>
                <w:color w:val="000000"/>
                <w:spacing w:val="10"/>
                <w:sz w:val="24"/>
                <w:szCs w:val="24"/>
                <w:highlight w:val="none"/>
                <w:lang w:eastAsia="zh-CN"/>
              </w:rPr>
            </w:pPr>
            <w:r>
              <w:rPr>
                <w:rFonts w:hint="eastAsia" w:ascii="宋体" w:hAnsi="宋体" w:cs="宋体"/>
                <w:bCs/>
                <w:color w:val="000000"/>
                <w:spacing w:val="10"/>
                <w:sz w:val="24"/>
                <w:szCs w:val="24"/>
                <w:highlight w:val="none"/>
                <w:lang w:eastAsia="zh-CN"/>
              </w:rPr>
              <w:t>修改</w:t>
            </w:r>
            <w:r>
              <w:rPr>
                <w:rFonts w:hint="eastAsia" w:ascii="宋体" w:hAnsi="宋体" w:cs="宋体"/>
                <w:bCs/>
                <w:color w:val="000000"/>
                <w:spacing w:val="10"/>
                <w:sz w:val="24"/>
                <w:szCs w:val="24"/>
                <w:highlight w:val="none"/>
                <w:lang w:val="en-US" w:eastAsia="zh-CN"/>
              </w:rPr>
              <w:t>后</w:t>
            </w:r>
            <w:r>
              <w:rPr>
                <w:rFonts w:hint="eastAsia" w:ascii="宋体" w:hAnsi="宋体" w:cs="宋体"/>
                <w:bCs/>
                <w:color w:val="000000"/>
                <w:spacing w:val="10"/>
                <w:sz w:val="24"/>
                <w:szCs w:val="24"/>
                <w:highlight w:val="none"/>
                <w:lang w:eastAsia="zh-CN"/>
              </w:rPr>
              <w:t>用地</w:t>
            </w:r>
            <w:r>
              <w:rPr>
                <w:rFonts w:hint="eastAsia" w:ascii="宋体" w:hAnsi="宋体" w:cs="宋体"/>
                <w:bCs/>
                <w:color w:val="000000"/>
                <w:spacing w:val="10"/>
                <w:sz w:val="24"/>
                <w:szCs w:val="24"/>
                <w:highlight w:val="none"/>
                <w:lang w:val="en-US" w:eastAsia="zh-CN"/>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sz w:val="24"/>
                <w:szCs w:val="24"/>
                <w:lang w:val="en-US" w:eastAsia="zh-CN"/>
              </w:rPr>
            </w:pPr>
            <w:r>
              <w:rPr>
                <w:rFonts w:hint="eastAsia" w:cs="宋体"/>
                <w:b/>
                <w:bCs/>
                <w:sz w:val="24"/>
                <w:szCs w:val="24"/>
                <w:lang w:val="en-US" w:eastAsia="zh-CN"/>
              </w:rPr>
              <w:t>A-08-02</w:t>
            </w:r>
          </w:p>
        </w:tc>
        <w:tc>
          <w:tcPr>
            <w:tcW w:w="1154" w:type="dxa"/>
            <w:vMerge w:val="restar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r>
              <w:rPr>
                <w:rFonts w:hint="eastAsia" w:ascii="宋体" w:hAnsi="宋体" w:cs="宋体"/>
                <w:bCs/>
                <w:color w:val="000000"/>
                <w:spacing w:val="10"/>
                <w:sz w:val="24"/>
                <w:szCs w:val="24"/>
                <w:highlight w:val="none"/>
                <w:lang w:val="en-US" w:eastAsia="zh-CN"/>
              </w:rPr>
              <w:t>0.72</w:t>
            </w:r>
          </w:p>
        </w:tc>
        <w:tc>
          <w:tcPr>
            <w:tcW w:w="1245" w:type="dxa"/>
            <w:vMerge w:val="restar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r>
              <w:rPr>
                <w:rFonts w:hint="eastAsia" w:ascii="宋体" w:hAnsi="宋体" w:cs="宋体"/>
                <w:bCs/>
                <w:color w:val="000000"/>
                <w:spacing w:val="10"/>
                <w:sz w:val="24"/>
                <w:szCs w:val="24"/>
                <w:highlight w:val="none"/>
                <w:lang w:val="en-US" w:eastAsia="zh-CN"/>
              </w:rPr>
              <w:t>B11</w:t>
            </w:r>
          </w:p>
        </w:tc>
        <w:tc>
          <w:tcPr>
            <w:tcW w:w="1411"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r>
              <w:rPr>
                <w:rFonts w:hint="eastAsia" w:ascii="宋体" w:hAnsi="宋体" w:cs="宋体"/>
                <w:bCs/>
                <w:color w:val="000000"/>
                <w:spacing w:val="10"/>
                <w:sz w:val="24"/>
                <w:szCs w:val="24"/>
                <w:highlight w:val="none"/>
                <w:lang w:val="en-US" w:eastAsia="zh-CN"/>
              </w:rPr>
              <w:t>A-08-02</w:t>
            </w:r>
          </w:p>
        </w:tc>
        <w:tc>
          <w:tcPr>
            <w:tcW w:w="1412"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r>
              <w:rPr>
                <w:rFonts w:hint="eastAsia" w:ascii="宋体" w:hAnsi="宋体" w:cs="宋体"/>
                <w:bCs/>
                <w:color w:val="000000"/>
                <w:spacing w:val="10"/>
                <w:sz w:val="24"/>
                <w:szCs w:val="24"/>
                <w:highlight w:val="none"/>
                <w:lang w:val="en-US" w:eastAsia="zh-CN"/>
              </w:rPr>
              <w:t>0.53</w:t>
            </w:r>
          </w:p>
        </w:tc>
        <w:tc>
          <w:tcPr>
            <w:tcW w:w="1412"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r>
              <w:rPr>
                <w:rFonts w:hint="eastAsia" w:ascii="宋体" w:hAnsi="宋体" w:cs="宋体"/>
                <w:bCs/>
                <w:color w:val="000000"/>
                <w:spacing w:val="10"/>
                <w:sz w:val="24"/>
                <w:szCs w:val="24"/>
                <w:highlight w:val="none"/>
                <w:lang w:val="en-US" w:eastAsia="zh-CN"/>
              </w:rPr>
              <w:t>090101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b/>
                <w:bCs/>
                <w:sz w:val="24"/>
                <w:szCs w:val="24"/>
                <w:lang w:val="en-US" w:eastAsia="zh-CN"/>
              </w:rPr>
            </w:pPr>
            <w:bookmarkStart w:id="70" w:name="_Toc13425892"/>
          </w:p>
        </w:tc>
        <w:tc>
          <w:tcPr>
            <w:tcW w:w="1154" w:type="dxa"/>
            <w:vMerge w:val="continue"/>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p>
        </w:tc>
        <w:tc>
          <w:tcPr>
            <w:tcW w:w="1245" w:type="dxa"/>
            <w:vMerge w:val="continue"/>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p>
        </w:tc>
        <w:tc>
          <w:tcPr>
            <w:tcW w:w="1411"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r>
              <w:rPr>
                <w:rFonts w:hint="eastAsia" w:ascii="宋体" w:hAnsi="宋体" w:cs="宋体"/>
                <w:bCs/>
                <w:color w:val="000000"/>
                <w:spacing w:val="10"/>
                <w:sz w:val="24"/>
                <w:szCs w:val="24"/>
                <w:highlight w:val="none"/>
                <w:lang w:val="en-US" w:eastAsia="zh-CN"/>
              </w:rPr>
              <w:t>A-08-07</w:t>
            </w:r>
          </w:p>
        </w:tc>
        <w:tc>
          <w:tcPr>
            <w:tcW w:w="1412"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r>
              <w:rPr>
                <w:rFonts w:hint="eastAsia" w:ascii="宋体" w:hAnsi="宋体" w:cs="宋体"/>
                <w:bCs/>
                <w:color w:val="000000"/>
                <w:spacing w:val="10"/>
                <w:sz w:val="24"/>
                <w:szCs w:val="24"/>
                <w:highlight w:val="none"/>
                <w:lang w:val="en-US" w:eastAsia="zh-CN"/>
              </w:rPr>
              <w:t>0.19</w:t>
            </w:r>
          </w:p>
        </w:tc>
        <w:tc>
          <w:tcPr>
            <w:tcW w:w="1412"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Cs/>
                <w:color w:val="000000"/>
                <w:spacing w:val="10"/>
                <w:sz w:val="24"/>
                <w:szCs w:val="24"/>
                <w:highlight w:val="none"/>
                <w:lang w:val="en-US" w:eastAsia="zh-CN"/>
              </w:rPr>
            </w:pPr>
            <w:r>
              <w:rPr>
                <w:rFonts w:hint="eastAsia" w:ascii="宋体" w:hAnsi="宋体" w:cs="宋体"/>
                <w:bCs/>
                <w:color w:val="000000"/>
                <w:spacing w:val="10"/>
                <w:sz w:val="24"/>
                <w:szCs w:val="24"/>
                <w:highlight w:val="none"/>
                <w:lang w:val="en-US" w:eastAsia="zh-CN"/>
              </w:rPr>
              <w:t>0901</w:t>
            </w:r>
            <w:r>
              <w:rPr>
                <w:rFonts w:hint="eastAsia" w:cs="宋体"/>
                <w:bCs/>
                <w:color w:val="000000"/>
                <w:spacing w:val="10"/>
                <w:sz w:val="24"/>
                <w:szCs w:val="24"/>
                <w:highlight w:val="none"/>
                <w:lang w:val="en-US" w:eastAsia="zh-CN"/>
              </w:rPr>
              <w:t>01</w:t>
            </w:r>
          </w:p>
        </w:tc>
      </w:tr>
    </w:tbl>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r>
        <w:rPr>
          <w:rFonts w:hint="eastAsia" w:cs="宋体"/>
          <w:b/>
          <w:bCs w:val="0"/>
          <w:color w:val="000000"/>
          <w:sz w:val="20"/>
          <w:szCs w:val="20"/>
          <w:u w:val="single"/>
          <w:lang w:eastAsia="zh-CN"/>
        </w:rPr>
        <w:drawing>
          <wp:anchor distT="0" distB="0" distL="114300" distR="114300" simplePos="0" relativeHeight="251662336" behindDoc="1" locked="0" layoutInCell="1" allowOverlap="1">
            <wp:simplePos x="0" y="0"/>
            <wp:positionH relativeFrom="column">
              <wp:posOffset>-11430</wp:posOffset>
            </wp:positionH>
            <wp:positionV relativeFrom="paragraph">
              <wp:posOffset>182245</wp:posOffset>
            </wp:positionV>
            <wp:extent cx="5504815" cy="3885565"/>
            <wp:effectExtent l="0" t="0" r="635" b="635"/>
            <wp:wrapNone/>
            <wp:docPr id="24" name="图片 24" descr="修改前图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修改前图则2"/>
                    <pic:cNvPicPr>
                      <a:picLocks noChangeAspect="1"/>
                    </pic:cNvPicPr>
                  </pic:nvPicPr>
                  <pic:blipFill>
                    <a:blip r:embed="rId22"/>
                    <a:srcRect l="3615" t="5161" r="4898" b="3546"/>
                    <a:stretch>
                      <a:fillRect/>
                    </a:stretch>
                  </pic:blipFill>
                  <pic:spPr>
                    <a:xfrm>
                      <a:off x="0" y="0"/>
                      <a:ext cx="5504815" cy="3885565"/>
                    </a:xfrm>
                    <a:prstGeom prst="rect">
                      <a:avLst/>
                    </a:prstGeom>
                  </pic:spPr>
                </pic:pic>
              </a:graphicData>
            </a:graphic>
          </wp:anchor>
        </w:drawing>
      </w: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rPr>
          <w:rFonts w:hint="eastAsia" w:cs="宋体"/>
          <w:b/>
          <w:bCs w:val="0"/>
          <w:color w:val="000000"/>
          <w:sz w:val="20"/>
          <w:szCs w:val="20"/>
          <w:u w:val="single"/>
          <w:lang w:eastAsia="zh-CN"/>
        </w:rPr>
      </w:pPr>
      <w:r>
        <w:rPr>
          <w:rFonts w:hint="eastAsia" w:cs="宋体"/>
          <w:b/>
          <w:bCs w:val="0"/>
          <w:color w:val="000000"/>
          <w:sz w:val="20"/>
          <w:szCs w:val="20"/>
          <w:u w:val="single"/>
          <w:lang w:eastAsia="zh-CN"/>
        </w:rPr>
        <w:t>图</w:t>
      </w:r>
      <w:r>
        <w:rPr>
          <w:rFonts w:hint="eastAsia" w:cs="宋体"/>
          <w:b/>
          <w:bCs w:val="0"/>
          <w:color w:val="000000"/>
          <w:sz w:val="20"/>
          <w:szCs w:val="20"/>
          <w:u w:val="single"/>
          <w:lang w:val="en-US" w:eastAsia="zh-CN"/>
        </w:rPr>
        <w:t>4-1   中心城区控规</w:t>
      </w:r>
      <w:r>
        <w:rPr>
          <w:rFonts w:hint="eastAsia" w:cs="宋体"/>
          <w:b/>
          <w:bCs w:val="0"/>
          <w:color w:val="000000"/>
          <w:sz w:val="20"/>
          <w:szCs w:val="20"/>
          <w:u w:val="single"/>
          <w:lang w:eastAsia="zh-CN"/>
        </w:rPr>
        <w:t>调整</w:t>
      </w:r>
      <w:r>
        <w:rPr>
          <w:rFonts w:hint="eastAsia" w:ascii="宋体" w:hAnsi="宋体" w:eastAsia="宋体" w:cs="宋体"/>
          <w:b/>
          <w:bCs w:val="0"/>
          <w:color w:val="000000"/>
          <w:sz w:val="20"/>
          <w:szCs w:val="20"/>
          <w:u w:val="single"/>
        </w:rPr>
        <w:t>前</w:t>
      </w:r>
      <w:r>
        <w:rPr>
          <w:rFonts w:hint="eastAsia" w:cs="宋体"/>
          <w:b/>
          <w:bCs w:val="0"/>
          <w:color w:val="000000"/>
          <w:sz w:val="20"/>
          <w:szCs w:val="20"/>
          <w:u w:val="single"/>
          <w:lang w:eastAsia="zh-CN"/>
        </w:rPr>
        <w:t>分图图则</w:t>
      </w:r>
    </w:p>
    <w:p>
      <w:pPr>
        <w:pageBreakBefore w:val="0"/>
        <w:widowControl w:val="0"/>
        <w:kinsoku/>
        <w:wordWrap/>
        <w:overflowPunct/>
        <w:topLinePunct w:val="0"/>
        <w:autoSpaceDE/>
        <w:autoSpaceDN/>
        <w:bidi w:val="0"/>
        <w:adjustRightInd/>
        <w:snapToGrid/>
        <w:spacing w:line="540" w:lineRule="exact"/>
        <w:ind w:firstLine="402" w:firstLineChars="200"/>
        <w:jc w:val="both"/>
        <w:textAlignment w:val="auto"/>
        <w:outlineLvl w:val="9"/>
        <w:rPr>
          <w:rFonts w:hint="eastAsia" w:cs="宋体"/>
          <w:b/>
          <w:bCs w:val="0"/>
          <w:color w:val="000000"/>
          <w:sz w:val="20"/>
          <w:szCs w:val="20"/>
          <w:u w:val="single"/>
          <w:lang w:eastAsia="zh-CN"/>
        </w:rPr>
      </w:pPr>
      <w:r>
        <w:rPr>
          <w:rFonts w:hint="eastAsia" w:cs="宋体"/>
          <w:b/>
          <w:bCs w:val="0"/>
          <w:color w:val="000000"/>
          <w:sz w:val="20"/>
          <w:szCs w:val="20"/>
          <w:u w:val="single"/>
          <w:lang w:eastAsia="zh-CN"/>
        </w:rPr>
        <w:drawing>
          <wp:anchor distT="0" distB="0" distL="114300" distR="114300" simplePos="0" relativeHeight="251662336" behindDoc="1" locked="0" layoutInCell="1" allowOverlap="1">
            <wp:simplePos x="0" y="0"/>
            <wp:positionH relativeFrom="column">
              <wp:posOffset>90170</wp:posOffset>
            </wp:positionH>
            <wp:positionV relativeFrom="paragraph">
              <wp:posOffset>48260</wp:posOffset>
            </wp:positionV>
            <wp:extent cx="5400040" cy="3473450"/>
            <wp:effectExtent l="9525" t="9525" r="19685" b="22225"/>
            <wp:wrapNone/>
            <wp:docPr id="4" name="图片 4" descr="7-修改后控规图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修改后控规图则"/>
                    <pic:cNvPicPr>
                      <a:picLocks noChangeAspect="1"/>
                    </pic:cNvPicPr>
                  </pic:nvPicPr>
                  <pic:blipFill>
                    <a:blip r:embed="rId23"/>
                    <a:srcRect l="10208" t="16571" r="11527" b="12252"/>
                    <a:stretch>
                      <a:fillRect/>
                    </a:stretch>
                  </pic:blipFill>
                  <pic:spPr>
                    <a:xfrm>
                      <a:off x="0" y="0"/>
                      <a:ext cx="5400040" cy="3473450"/>
                    </a:xfrm>
                    <a:prstGeom prst="rect">
                      <a:avLst/>
                    </a:prstGeom>
                    <a:ln>
                      <a:solidFill>
                        <a:schemeClr val="tx1"/>
                      </a:solidFill>
                    </a:ln>
                  </pic:spPr>
                </pic:pic>
              </a:graphicData>
            </a:graphic>
          </wp:anchor>
        </w:drawing>
      </w:r>
    </w:p>
    <w:p>
      <w:pPr>
        <w:pageBreakBefore w:val="0"/>
        <w:widowControl w:val="0"/>
        <w:kinsoku/>
        <w:wordWrap/>
        <w:overflowPunct/>
        <w:topLinePunct w:val="0"/>
        <w:autoSpaceDE/>
        <w:autoSpaceDN/>
        <w:bidi w:val="0"/>
        <w:adjustRightInd/>
        <w:snapToGrid/>
        <w:spacing w:line="540" w:lineRule="exact"/>
        <w:ind w:firstLine="402" w:firstLineChars="200"/>
        <w:jc w:val="both"/>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both"/>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both"/>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ind w:firstLine="402" w:firstLineChars="200"/>
        <w:jc w:val="center"/>
        <w:textAlignment w:val="auto"/>
        <w:outlineLvl w:val="9"/>
        <w:rPr>
          <w:rFonts w:hint="eastAsia" w:cs="宋体"/>
          <w:b/>
          <w:bCs w:val="0"/>
          <w:color w:val="000000"/>
          <w:sz w:val="20"/>
          <w:szCs w:val="20"/>
          <w:u w:val="single"/>
          <w:lang w:eastAsia="zh-CN"/>
        </w:rPr>
      </w:pPr>
    </w:p>
    <w:p>
      <w:pPr>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cs="宋体"/>
          <w:b/>
          <w:bCs w:val="0"/>
          <w:color w:val="000000"/>
          <w:sz w:val="20"/>
          <w:szCs w:val="20"/>
          <w:u w:val="single"/>
          <w:lang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cs="宋体"/>
          <w:b/>
          <w:bCs w:val="0"/>
          <w:color w:val="000000"/>
          <w:sz w:val="20"/>
          <w:szCs w:val="20"/>
          <w:u w:val="singl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cs="宋体"/>
          <w:b/>
          <w:bCs w:val="0"/>
          <w:color w:val="000000"/>
          <w:sz w:val="20"/>
          <w:szCs w:val="20"/>
          <w:u w:val="single"/>
          <w:lang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cs="宋体"/>
          <w:b/>
          <w:bCs w:val="0"/>
          <w:color w:val="000000"/>
          <w:sz w:val="20"/>
          <w:szCs w:val="20"/>
          <w:u w:val="single"/>
          <w:lang w:eastAsia="zh-CN"/>
        </w:rPr>
      </w:pPr>
      <w:r>
        <w:rPr>
          <w:rFonts w:hint="eastAsia" w:cs="宋体"/>
          <w:b/>
          <w:bCs w:val="0"/>
          <w:color w:val="000000"/>
          <w:sz w:val="20"/>
          <w:szCs w:val="20"/>
          <w:u w:val="single"/>
          <w:lang w:eastAsia="zh-CN"/>
        </w:rPr>
        <w:t>图</w:t>
      </w:r>
      <w:r>
        <w:rPr>
          <w:rFonts w:hint="eastAsia" w:cs="宋体"/>
          <w:b/>
          <w:bCs w:val="0"/>
          <w:color w:val="000000"/>
          <w:sz w:val="20"/>
          <w:szCs w:val="20"/>
          <w:u w:val="single"/>
          <w:lang w:val="en-US" w:eastAsia="zh-CN"/>
        </w:rPr>
        <w:t>4-2  调整后</w:t>
      </w:r>
      <w:r>
        <w:rPr>
          <w:rFonts w:hint="eastAsia" w:cs="宋体"/>
          <w:b/>
          <w:bCs w:val="0"/>
          <w:color w:val="000000"/>
          <w:sz w:val="20"/>
          <w:szCs w:val="20"/>
          <w:u w:val="single"/>
          <w:lang w:eastAsia="zh-CN"/>
        </w:rPr>
        <w:t>分图则</w:t>
      </w: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cs="宋体"/>
          <w:bCs/>
          <w:color w:val="000000"/>
          <w:spacing w:val="10"/>
          <w:sz w:val="28"/>
          <w:szCs w:val="28"/>
          <w:lang w:eastAsia="zh-CN"/>
        </w:rPr>
      </w:pPr>
      <w:r>
        <w:rPr>
          <w:rFonts w:hint="eastAsia" w:ascii="宋体" w:hAnsi="宋体" w:cs="宋体"/>
          <w:bCs/>
          <w:color w:val="000000"/>
          <w:spacing w:val="10"/>
          <w:sz w:val="28"/>
          <w:szCs w:val="28"/>
          <w:lang w:eastAsia="zh-CN"/>
        </w:rPr>
        <w:t>项目用地</w:t>
      </w:r>
      <w:r>
        <w:rPr>
          <w:rFonts w:hint="eastAsia" w:ascii="宋体" w:hAnsi="宋体" w:cs="宋体"/>
          <w:bCs/>
          <w:color w:val="000000"/>
          <w:spacing w:val="10"/>
          <w:sz w:val="28"/>
          <w:szCs w:val="28"/>
        </w:rPr>
        <w:t>修改后控制指标一览表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56"/>
        <w:gridCol w:w="1137"/>
        <w:gridCol w:w="626"/>
        <w:gridCol w:w="1041"/>
        <w:gridCol w:w="713"/>
        <w:gridCol w:w="1131"/>
        <w:gridCol w:w="756"/>
        <w:gridCol w:w="90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地块</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编号</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地块</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性质</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地块面积（公顷）</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容积率</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建筑密度（%）</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绿地率</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建筑限高（米）</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配建</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车位</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（辆）</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建筑面积</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（平方米）</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出入口方向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A-08-02</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090101</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0.53</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3.0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40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30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45</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48</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cs="宋体"/>
                <w:sz w:val="18"/>
                <w:szCs w:val="18"/>
                <w:highlight w:val="none"/>
                <w:vertAlign w:val="baseline"/>
                <w:lang w:val="en-US" w:eastAsia="zh-CN"/>
              </w:rPr>
            </w:pPr>
            <w:r>
              <w:rPr>
                <w:rFonts w:hint="eastAsia" w:cs="宋体"/>
                <w:sz w:val="18"/>
                <w:szCs w:val="18"/>
                <w:highlight w:val="none"/>
                <w:vertAlign w:val="baseline"/>
                <w:lang w:val="en-US" w:eastAsia="zh-CN"/>
              </w:rPr>
              <w:t>15822</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A-08-07</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090101</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0.19</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3.9</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50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20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50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74</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cs="宋体"/>
                <w:sz w:val="18"/>
                <w:szCs w:val="18"/>
                <w:highlight w:val="none"/>
                <w:vertAlign w:val="baseline"/>
                <w:lang w:val="en-US" w:eastAsia="zh-CN"/>
              </w:rPr>
            </w:pPr>
            <w:r>
              <w:rPr>
                <w:rFonts w:hint="eastAsia" w:cs="宋体"/>
                <w:sz w:val="18"/>
                <w:szCs w:val="18"/>
                <w:highlight w:val="none"/>
                <w:vertAlign w:val="baseline"/>
                <w:lang w:val="en-US" w:eastAsia="zh-CN"/>
              </w:rPr>
              <w:t>7488</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W</w:t>
            </w:r>
          </w:p>
        </w:tc>
      </w:tr>
    </w:tbl>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default" w:cs="宋体"/>
          <w:b/>
          <w:bCs w:val="0"/>
          <w:color w:val="000000"/>
          <w:sz w:val="30"/>
          <w:szCs w:val="30"/>
          <w:lang w:val="en-US" w:eastAsia="zh-CN"/>
        </w:rPr>
      </w:pPr>
      <w:bookmarkStart w:id="71" w:name="_Toc4163"/>
      <w:r>
        <w:rPr>
          <w:rFonts w:hint="eastAsia" w:cs="宋体"/>
          <w:b/>
          <w:bCs w:val="0"/>
          <w:color w:val="000000"/>
          <w:sz w:val="30"/>
          <w:szCs w:val="30"/>
          <w:lang w:val="en-US" w:eastAsia="zh-CN"/>
        </w:rPr>
        <w:t>五、A-08-02、A-08-07地块坐标表</w:t>
      </w:r>
      <w:bookmarkEnd w:id="71"/>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vertAlign w:val="baseline"/>
          <w:lang w:val="en-US" w:eastAsia="zh-CN"/>
        </w:rPr>
      </w:pPr>
      <w:r>
        <w:rPr>
          <w:rFonts w:hint="eastAsia"/>
          <w:vertAlign w:val="baseline"/>
          <w:lang w:val="en-US" w:eastAsia="zh-CN"/>
        </w:rPr>
        <w:t>A-08-02坐标表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900"/>
        <w:gridCol w:w="2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序号</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2"/>
                <w:szCs w:val="22"/>
                <w:vertAlign w:val="baseline"/>
                <w:lang w:val="en-US" w:eastAsia="zh-CN"/>
              </w:rPr>
            </w:pPr>
            <w:r>
              <w:rPr>
                <w:rFonts w:hint="eastAsia"/>
                <w:sz w:val="22"/>
                <w:szCs w:val="22"/>
                <w:vertAlign w:val="baseline"/>
                <w:lang w:val="en-US" w:eastAsia="zh-CN"/>
              </w:rPr>
              <w:t>坐标X</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2"/>
                <w:szCs w:val="22"/>
                <w:vertAlign w:val="baseline"/>
                <w:lang w:val="en-US" w:eastAsia="zh-CN"/>
              </w:rPr>
            </w:pPr>
            <w:r>
              <w:rPr>
                <w:rFonts w:hint="eastAsia"/>
                <w:sz w:val="22"/>
                <w:szCs w:val="22"/>
                <w:vertAlign w:val="baseline"/>
                <w:lang w:val="en-US" w:eastAsia="zh-CN"/>
              </w:rPr>
              <w:t>坐标Y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1</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3890280.4995</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2"/>
                <w:szCs w:val="22"/>
                <w:vertAlign w:val="baseline"/>
                <w:lang w:val="en-US" w:eastAsia="zh-CN"/>
              </w:rPr>
            </w:pPr>
            <w:r>
              <w:rPr>
                <w:rFonts w:hint="eastAsia"/>
                <w:sz w:val="22"/>
                <w:szCs w:val="22"/>
                <w:vertAlign w:val="baseline"/>
                <w:lang w:val="en-US" w:eastAsia="zh-CN"/>
              </w:rPr>
              <w:t>519940.4523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2</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3890276.0095</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519945.9732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3</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3890371.0258</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520021.2002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4</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3890388.9680</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519998.2720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5</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3890391.4226</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519995.1353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6</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3890389.0530</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519979.3519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7</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3890302.8004</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2"/>
                <w:vertAlign w:val="baseline"/>
                <w:lang w:val="en-US" w:eastAsia="zh-CN"/>
              </w:rPr>
            </w:pPr>
            <w:r>
              <w:rPr>
                <w:rFonts w:hint="eastAsia"/>
                <w:sz w:val="22"/>
                <w:szCs w:val="22"/>
                <w:vertAlign w:val="baseline"/>
                <w:lang w:val="en-US" w:eastAsia="zh-CN"/>
              </w:rPr>
              <w:t>519911.0635</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vertAlign w:val="baseline"/>
          <w:lang w:val="en-US" w:eastAsia="zh-CN"/>
        </w:rPr>
      </w:pPr>
      <w:r>
        <w:rPr>
          <w:rFonts w:hint="eastAsia"/>
          <w:vertAlign w:val="baseline"/>
          <w:lang w:val="en-US" w:eastAsia="zh-CN"/>
        </w:rPr>
        <w:t>A-08-07坐标表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9"/>
        <w:gridCol w:w="2900"/>
        <w:gridCol w:w="2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exact"/>
        </w:trPr>
        <w:tc>
          <w:tcPr>
            <w:tcW w:w="289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序号</w:t>
            </w:r>
          </w:p>
        </w:tc>
        <w:tc>
          <w:tcPr>
            <w:tcW w:w="290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2"/>
                <w:szCs w:val="21"/>
                <w:vertAlign w:val="baseline"/>
                <w:lang w:val="en-US" w:eastAsia="zh-CN"/>
              </w:rPr>
            </w:pPr>
            <w:r>
              <w:rPr>
                <w:rFonts w:hint="eastAsia"/>
                <w:sz w:val="22"/>
                <w:szCs w:val="21"/>
                <w:vertAlign w:val="baseline"/>
                <w:lang w:val="en-US" w:eastAsia="zh-CN"/>
              </w:rPr>
              <w:t>坐标X</w:t>
            </w:r>
          </w:p>
        </w:tc>
        <w:tc>
          <w:tcPr>
            <w:tcW w:w="290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2"/>
                <w:szCs w:val="21"/>
                <w:vertAlign w:val="baseline"/>
                <w:lang w:val="en-US" w:eastAsia="zh-CN"/>
              </w:rPr>
            </w:pPr>
            <w:r>
              <w:rPr>
                <w:rFonts w:hint="eastAsia"/>
                <w:sz w:val="22"/>
                <w:szCs w:val="21"/>
                <w:vertAlign w:val="baseline"/>
                <w:lang w:val="en-US" w:eastAsia="zh-CN"/>
              </w:rPr>
              <w:t>坐标Y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exact"/>
        </w:trPr>
        <w:tc>
          <w:tcPr>
            <w:tcW w:w="289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2"/>
                <w:vertAlign w:val="baseline"/>
                <w:lang w:val="en-US" w:eastAsia="zh-CN"/>
              </w:rPr>
              <w:t>1</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2"/>
                <w:szCs w:val="21"/>
                <w:vertAlign w:val="baseline"/>
                <w:lang w:val="en-US" w:eastAsia="zh-CN"/>
              </w:rPr>
            </w:pPr>
            <w:r>
              <w:rPr>
                <w:rFonts w:hint="eastAsia"/>
                <w:sz w:val="22"/>
                <w:szCs w:val="21"/>
                <w:vertAlign w:val="baseline"/>
                <w:lang w:val="en-US" w:eastAsia="zh-CN"/>
              </w:rPr>
              <w:t>3890302.8004</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519911.0635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exact"/>
        </w:trPr>
        <w:tc>
          <w:tcPr>
            <w:tcW w:w="289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2"/>
                <w:vertAlign w:val="baseline"/>
                <w:lang w:val="en-US" w:eastAsia="zh-CN"/>
              </w:rPr>
              <w:t>2</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3890280.4995</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519940.4523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exact"/>
        </w:trPr>
        <w:tc>
          <w:tcPr>
            <w:tcW w:w="289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2"/>
                <w:vertAlign w:val="baseline"/>
                <w:lang w:val="en-US" w:eastAsia="zh-CN"/>
              </w:rPr>
              <w:t>3</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3890239.3665</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519907.5976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exact"/>
        </w:trPr>
        <w:tc>
          <w:tcPr>
            <w:tcW w:w="289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2"/>
                <w:vertAlign w:val="baseline"/>
                <w:lang w:val="en-US" w:eastAsia="zh-CN"/>
              </w:rPr>
              <w:t>4</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3890255.2125</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519887.6701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289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2"/>
                <w:vertAlign w:val="baseline"/>
                <w:lang w:val="en-US" w:eastAsia="zh-CN"/>
              </w:rPr>
              <w:t>5</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3890262.2475</w:t>
            </w:r>
          </w:p>
        </w:tc>
        <w:tc>
          <w:tcPr>
            <w:tcW w:w="2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sz w:val="22"/>
                <w:szCs w:val="21"/>
                <w:vertAlign w:val="baseline"/>
                <w:lang w:val="en-US" w:eastAsia="zh-CN"/>
              </w:rPr>
            </w:pPr>
            <w:r>
              <w:rPr>
                <w:rFonts w:hint="eastAsia"/>
                <w:sz w:val="22"/>
                <w:szCs w:val="21"/>
                <w:vertAlign w:val="baseline"/>
                <w:lang w:val="en-US" w:eastAsia="zh-CN"/>
              </w:rPr>
              <w:t>519878.9567</w:t>
            </w:r>
          </w:p>
        </w:tc>
      </w:tr>
    </w:tbl>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eastAsia" w:ascii="宋体" w:hAnsi="宋体" w:cs="宋体"/>
          <w:b/>
          <w:bCs/>
          <w:sz w:val="32"/>
          <w:szCs w:val="32"/>
        </w:rPr>
      </w:pPr>
      <w:bookmarkStart w:id="72" w:name="_Toc16553"/>
      <w:bookmarkStart w:id="73" w:name="_Toc26120"/>
      <w:bookmarkStart w:id="74" w:name="_Toc9775"/>
      <w:bookmarkStart w:id="75" w:name="_Toc8909"/>
      <w:bookmarkStart w:id="76" w:name="_Toc28920"/>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eastAsia" w:ascii="宋体" w:hAnsi="宋体" w:cs="宋体"/>
          <w:b/>
          <w:bCs/>
          <w:sz w:val="32"/>
          <w:szCs w:val="32"/>
        </w:rPr>
      </w:pPr>
      <w:r>
        <w:rPr>
          <w:rFonts w:hint="eastAsia" w:ascii="宋体" w:hAnsi="宋体" w:cs="宋体"/>
          <w:b/>
          <w:bCs/>
          <w:sz w:val="32"/>
          <w:szCs w:val="32"/>
        </w:rPr>
        <w:t>第</w:t>
      </w:r>
      <w:r>
        <w:rPr>
          <w:rFonts w:hint="eastAsia" w:cs="宋体"/>
          <w:b/>
          <w:bCs/>
          <w:sz w:val="32"/>
          <w:szCs w:val="32"/>
          <w:lang w:val="en-US" w:eastAsia="zh-CN"/>
        </w:rPr>
        <w:t>五</w:t>
      </w:r>
      <w:r>
        <w:rPr>
          <w:rFonts w:hint="eastAsia" w:ascii="宋体" w:hAnsi="宋体" w:cs="宋体"/>
          <w:b/>
          <w:bCs/>
          <w:sz w:val="32"/>
          <w:szCs w:val="32"/>
        </w:rPr>
        <w:t>章 建设开发控制</w:t>
      </w:r>
      <w:bookmarkEnd w:id="72"/>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ascii="宋体" w:hAnsi="宋体" w:cs="宋体"/>
          <w:b/>
          <w:bCs/>
          <w:sz w:val="30"/>
          <w:szCs w:val="30"/>
        </w:rPr>
      </w:pPr>
      <w:bookmarkStart w:id="77" w:name="_Toc11411"/>
      <w:bookmarkStart w:id="78" w:name="_Toc28282"/>
      <w:bookmarkStart w:id="79" w:name="_Toc16798"/>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ascii="宋体" w:hAnsi="宋体" w:cs="宋体"/>
          <w:b/>
          <w:bCs/>
          <w:sz w:val="30"/>
          <w:szCs w:val="30"/>
        </w:rPr>
      </w:pPr>
      <w:bookmarkStart w:id="80" w:name="_Toc4173"/>
      <w:bookmarkStart w:id="81" w:name="_Toc13715"/>
      <w:r>
        <w:rPr>
          <w:rFonts w:hint="eastAsia" w:ascii="宋体" w:hAnsi="宋体" w:cs="宋体"/>
          <w:b/>
          <w:bCs/>
          <w:sz w:val="30"/>
          <w:szCs w:val="30"/>
        </w:rPr>
        <w:t>一、土地开发强度</w:t>
      </w:r>
      <w:bookmarkEnd w:id="77"/>
      <w:bookmarkEnd w:id="78"/>
      <w:bookmarkEnd w:id="79"/>
      <w:bookmarkEnd w:id="80"/>
      <w:bookmarkEnd w:id="81"/>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土地开发强度涉及建设容量和环境容量、交通负荷能力和功能需要等多方面的因素。通过合理的土地开发强度的控制，不但可以保证良好的城市空间环境，还可以对投资引导、土地使用效率的提高以及形成合理的城市结构起到积极</w:t>
      </w:r>
      <w:r>
        <w:rPr>
          <w:rFonts w:hint="eastAsia"/>
          <w:spacing w:val="10"/>
          <w:sz w:val="28"/>
          <w:szCs w:val="28"/>
          <w:lang w:val="en-US" w:eastAsia="zh-CN"/>
        </w:rPr>
        <w:t>的</w:t>
      </w:r>
      <w:r>
        <w:rPr>
          <w:rFonts w:hint="eastAsia" w:ascii="宋体" w:hAnsi="宋体"/>
          <w:spacing w:val="10"/>
          <w:sz w:val="28"/>
          <w:szCs w:val="28"/>
        </w:rPr>
        <w:t>作用。土地开发强度的控制通过容积率和建筑密度两项指标来控制。</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b/>
          <w:bCs/>
          <w:spacing w:val="10"/>
          <w:sz w:val="28"/>
          <w:szCs w:val="28"/>
          <w:lang w:val="en-US" w:eastAsia="zh-CN"/>
        </w:rPr>
      </w:pPr>
      <w:r>
        <w:rPr>
          <w:rFonts w:hint="eastAsia" w:ascii="宋体" w:hAnsi="宋体"/>
          <w:b/>
          <w:bCs/>
          <w:spacing w:val="10"/>
          <w:sz w:val="28"/>
          <w:szCs w:val="28"/>
        </w:rPr>
        <w:t>规划</w:t>
      </w:r>
      <w:r>
        <w:rPr>
          <w:rFonts w:hint="eastAsia"/>
          <w:b/>
          <w:bCs/>
          <w:spacing w:val="10"/>
          <w:sz w:val="28"/>
          <w:szCs w:val="28"/>
          <w:lang w:val="en-US" w:eastAsia="zh-CN"/>
        </w:rPr>
        <w:t>A-08-07</w:t>
      </w:r>
      <w:r>
        <w:rPr>
          <w:rFonts w:hint="eastAsia" w:ascii="宋体" w:hAnsi="宋体"/>
          <w:b/>
          <w:bCs/>
          <w:spacing w:val="10"/>
          <w:sz w:val="28"/>
          <w:szCs w:val="28"/>
        </w:rPr>
        <w:t>地块容积率不得超过</w:t>
      </w:r>
      <w:r>
        <w:rPr>
          <w:rFonts w:hint="eastAsia"/>
          <w:b/>
          <w:bCs/>
          <w:spacing w:val="10"/>
          <w:sz w:val="28"/>
          <w:szCs w:val="28"/>
          <w:lang w:val="en-US" w:eastAsia="zh-CN"/>
        </w:rPr>
        <w:t>3.9</w:t>
      </w:r>
      <w:r>
        <w:rPr>
          <w:rFonts w:hint="eastAsia" w:ascii="宋体" w:hAnsi="宋体"/>
          <w:b/>
          <w:bCs/>
          <w:spacing w:val="10"/>
          <w:sz w:val="28"/>
          <w:szCs w:val="28"/>
        </w:rPr>
        <w:t>；建筑密度不得大于</w:t>
      </w:r>
      <w:r>
        <w:rPr>
          <w:rFonts w:hint="eastAsia"/>
          <w:b/>
          <w:bCs/>
          <w:spacing w:val="10"/>
          <w:sz w:val="28"/>
          <w:szCs w:val="28"/>
          <w:lang w:val="en-US" w:eastAsia="zh-CN"/>
        </w:rPr>
        <w:t>50</w:t>
      </w:r>
      <w:r>
        <w:rPr>
          <w:rFonts w:hint="eastAsia" w:ascii="宋体" w:hAnsi="宋体"/>
          <w:b/>
          <w:bCs/>
          <w:spacing w:val="10"/>
          <w:sz w:val="28"/>
          <w:szCs w:val="28"/>
        </w:rPr>
        <w:t>%</w:t>
      </w:r>
      <w:r>
        <w:rPr>
          <w:rFonts w:hint="eastAsia"/>
          <w:b/>
          <w:bCs/>
          <w:spacing w:val="10"/>
          <w:sz w:val="28"/>
          <w:szCs w:val="28"/>
          <w:lang w:eastAsia="zh-CN"/>
        </w:rPr>
        <w:t>；</w:t>
      </w:r>
      <w:r>
        <w:rPr>
          <w:rFonts w:hint="eastAsia"/>
          <w:b/>
          <w:bCs/>
          <w:spacing w:val="10"/>
          <w:sz w:val="28"/>
          <w:szCs w:val="28"/>
          <w:lang w:val="en-US" w:eastAsia="zh-CN"/>
        </w:rPr>
        <w:t>绿地率不小于20%；建筑限高不大于50米。</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160"/>
        <w:textAlignment w:val="auto"/>
        <w:rPr>
          <w:rFonts w:hint="eastAsia" w:ascii="宋体" w:hAnsi="宋体" w:eastAsia="宋体" w:cstheme="minorBidi"/>
          <w:spacing w:val="10"/>
          <w:kern w:val="2"/>
          <w:sz w:val="28"/>
          <w:szCs w:val="28"/>
          <w:lang w:val="en-US" w:eastAsia="zh-CN" w:bidi="ar-SA"/>
        </w:rPr>
      </w:pPr>
      <w:bookmarkStart w:id="82" w:name="_Toc17293"/>
      <w:bookmarkStart w:id="83" w:name="_Toc17232"/>
      <w:r>
        <w:rPr>
          <w:rFonts w:hint="eastAsia" w:ascii="宋体" w:hAnsi="宋体" w:eastAsia="宋体" w:cstheme="minorBidi"/>
          <w:spacing w:val="10"/>
          <w:kern w:val="2"/>
          <w:sz w:val="28"/>
          <w:szCs w:val="28"/>
          <w:lang w:val="en-US" w:eastAsia="zh-CN" w:bidi="ar-SA"/>
        </w:rPr>
        <w:t>规划其他地块容积率等指标按原控规执行。</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ascii="宋体" w:hAnsi="宋体" w:cs="宋体"/>
          <w:b/>
          <w:bCs/>
          <w:sz w:val="30"/>
          <w:szCs w:val="30"/>
        </w:rPr>
      </w:pPr>
      <w:bookmarkStart w:id="84" w:name="_Toc20937"/>
      <w:bookmarkStart w:id="85" w:name="_Toc29276"/>
      <w:bookmarkStart w:id="86" w:name="_Toc21069"/>
      <w:r>
        <w:rPr>
          <w:rFonts w:hint="eastAsia" w:ascii="宋体" w:hAnsi="宋体" w:cs="宋体"/>
          <w:b/>
          <w:bCs/>
          <w:sz w:val="30"/>
          <w:szCs w:val="30"/>
        </w:rPr>
        <w:t>二、建筑间距及建筑后退控制</w:t>
      </w:r>
      <w:bookmarkEnd w:id="82"/>
      <w:bookmarkEnd w:id="83"/>
      <w:bookmarkEnd w:id="84"/>
      <w:bookmarkEnd w:id="85"/>
      <w:bookmarkEnd w:id="86"/>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1、建构筑间距控制</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项目用地内任何新建建筑均应符合消防、卫生、环境保护、城市设计、防灾、通风和工程管线埋设等方面的相关法规及规范的要求。</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2、后退距离要求</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为保证</w:t>
      </w:r>
      <w:r>
        <w:rPr>
          <w:rFonts w:hint="eastAsia" w:ascii="宋体" w:hAnsi="宋体"/>
          <w:spacing w:val="10"/>
          <w:sz w:val="28"/>
          <w:szCs w:val="28"/>
          <w:lang w:eastAsia="zh-CN"/>
        </w:rPr>
        <w:t>项目用地内各</w:t>
      </w:r>
      <w:r>
        <w:rPr>
          <w:rFonts w:hint="eastAsia" w:ascii="宋体" w:hAnsi="宋体"/>
          <w:spacing w:val="10"/>
          <w:sz w:val="28"/>
          <w:szCs w:val="28"/>
        </w:rPr>
        <w:t>地块的安全，综合考虑区域环境、景观、日照以及消防等要求。</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spacing w:val="10"/>
          <w:sz w:val="28"/>
          <w:szCs w:val="28"/>
          <w:lang w:val="en-US" w:eastAsia="zh-CN"/>
        </w:rPr>
      </w:pPr>
      <w:r>
        <w:rPr>
          <w:rFonts w:hint="eastAsia"/>
          <w:spacing w:val="10"/>
          <w:sz w:val="28"/>
          <w:szCs w:val="28"/>
          <w:lang w:val="en-US" w:eastAsia="zh-CN"/>
        </w:rPr>
        <w:t>规划A-08-07地块建筑最突出部分</w:t>
      </w:r>
      <w:r>
        <w:rPr>
          <w:rFonts w:hint="eastAsia" w:ascii="宋体" w:hAnsi="宋体"/>
          <w:spacing w:val="10"/>
          <w:sz w:val="28"/>
          <w:szCs w:val="28"/>
        </w:rPr>
        <w:t>退道路</w:t>
      </w:r>
      <w:r>
        <w:rPr>
          <w:rFonts w:hint="eastAsia"/>
          <w:spacing w:val="10"/>
          <w:sz w:val="28"/>
          <w:szCs w:val="28"/>
          <w:lang w:val="en-US" w:eastAsia="zh-CN"/>
        </w:rPr>
        <w:t>绿线3</w:t>
      </w:r>
      <w:r>
        <w:rPr>
          <w:rFonts w:hint="eastAsia" w:ascii="宋体" w:hAnsi="宋体"/>
          <w:spacing w:val="10"/>
          <w:sz w:val="28"/>
          <w:szCs w:val="28"/>
        </w:rPr>
        <w:t>米</w:t>
      </w:r>
      <w:r>
        <w:rPr>
          <w:rFonts w:hint="eastAsia"/>
          <w:spacing w:val="10"/>
          <w:sz w:val="28"/>
          <w:szCs w:val="28"/>
          <w:lang w:eastAsia="zh-CN"/>
        </w:rPr>
        <w:t>；</w:t>
      </w:r>
      <w:r>
        <w:rPr>
          <w:rFonts w:hint="eastAsia" w:ascii="宋体" w:hAnsi="宋体"/>
          <w:spacing w:val="10"/>
          <w:sz w:val="28"/>
          <w:szCs w:val="28"/>
        </w:rPr>
        <w:t>退</w:t>
      </w:r>
      <w:r>
        <w:rPr>
          <w:rFonts w:hint="eastAsia"/>
          <w:spacing w:val="10"/>
          <w:sz w:val="28"/>
          <w:szCs w:val="28"/>
          <w:lang w:val="en-US" w:eastAsia="zh-CN"/>
        </w:rPr>
        <w:t>地块</w:t>
      </w:r>
      <w:r>
        <w:rPr>
          <w:rFonts w:hint="eastAsia" w:ascii="宋体" w:hAnsi="宋体"/>
          <w:spacing w:val="10"/>
          <w:sz w:val="28"/>
          <w:szCs w:val="28"/>
        </w:rPr>
        <w:t>红线</w:t>
      </w:r>
      <w:r>
        <w:rPr>
          <w:rFonts w:hint="eastAsia"/>
          <w:spacing w:val="10"/>
          <w:sz w:val="28"/>
          <w:szCs w:val="28"/>
          <w:lang w:val="en-US" w:eastAsia="zh-CN"/>
        </w:rPr>
        <w:t>3</w:t>
      </w:r>
      <w:r>
        <w:rPr>
          <w:rFonts w:hint="eastAsia" w:ascii="宋体" w:hAnsi="宋体"/>
          <w:spacing w:val="10"/>
          <w:sz w:val="28"/>
          <w:szCs w:val="28"/>
        </w:rPr>
        <w:t>米</w:t>
      </w:r>
      <w:r>
        <w:rPr>
          <w:rFonts w:hint="eastAsia"/>
          <w:spacing w:val="1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ascii="宋体" w:hAnsi="宋体" w:cs="宋体"/>
          <w:b/>
          <w:bCs/>
          <w:sz w:val="30"/>
          <w:szCs w:val="30"/>
        </w:rPr>
      </w:pPr>
      <w:bookmarkStart w:id="87" w:name="_Toc16058"/>
      <w:bookmarkStart w:id="88" w:name="_Toc6209"/>
      <w:bookmarkStart w:id="89" w:name="_Toc32424"/>
      <w:bookmarkStart w:id="90" w:name="_Toc21899"/>
      <w:r>
        <w:rPr>
          <w:rFonts w:hint="eastAsia" w:ascii="宋体" w:hAnsi="宋体" w:cs="宋体"/>
          <w:b/>
          <w:bCs/>
          <w:sz w:val="30"/>
          <w:szCs w:val="30"/>
        </w:rPr>
        <w:t>三、高度控制</w:t>
      </w:r>
      <w:bookmarkEnd w:id="87"/>
      <w:bookmarkEnd w:id="88"/>
      <w:bookmarkEnd w:id="89"/>
      <w:bookmarkEnd w:id="90"/>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根据城市空间设计，结合城市功能布局、开发强度以及项目用地性质确定项目用地内建筑的限制高度。</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eastAsia" w:ascii="宋体" w:hAnsi="宋体" w:eastAsia="宋体"/>
          <w:b/>
          <w:bCs/>
          <w:spacing w:val="10"/>
          <w:sz w:val="28"/>
          <w:szCs w:val="28"/>
          <w:lang w:eastAsia="zh-CN"/>
        </w:rPr>
      </w:pPr>
      <w:r>
        <w:rPr>
          <w:rFonts w:hint="eastAsia" w:ascii="宋体" w:hAnsi="宋体"/>
          <w:b/>
          <w:bCs/>
          <w:spacing w:val="10"/>
          <w:sz w:val="28"/>
          <w:szCs w:val="28"/>
        </w:rPr>
        <w:t>规划</w:t>
      </w:r>
      <w:r>
        <w:rPr>
          <w:rFonts w:hint="eastAsia"/>
          <w:b/>
          <w:bCs/>
          <w:spacing w:val="10"/>
          <w:sz w:val="28"/>
          <w:szCs w:val="28"/>
          <w:lang w:val="en-US" w:eastAsia="zh-CN"/>
        </w:rPr>
        <w:t>A-08-07</w:t>
      </w:r>
      <w:r>
        <w:rPr>
          <w:rFonts w:hint="eastAsia" w:ascii="宋体" w:hAnsi="宋体" w:cs="宋体"/>
          <w:b/>
          <w:bCs/>
          <w:color w:val="000000"/>
          <w:spacing w:val="10"/>
          <w:sz w:val="28"/>
          <w:szCs w:val="28"/>
        </w:rPr>
        <w:t>地块</w:t>
      </w:r>
      <w:r>
        <w:rPr>
          <w:rFonts w:hint="eastAsia" w:ascii="宋体" w:hAnsi="宋体"/>
          <w:b/>
          <w:bCs/>
          <w:spacing w:val="10"/>
          <w:sz w:val="28"/>
          <w:szCs w:val="28"/>
        </w:rPr>
        <w:t>内建筑高度控制为</w:t>
      </w:r>
      <w:r>
        <w:rPr>
          <w:rFonts w:hint="eastAsia"/>
          <w:b/>
          <w:bCs/>
          <w:spacing w:val="10"/>
          <w:sz w:val="28"/>
          <w:szCs w:val="28"/>
          <w:lang w:val="en-US" w:eastAsia="zh-CN"/>
        </w:rPr>
        <w:t>最高</w:t>
      </w:r>
      <w:r>
        <w:rPr>
          <w:rFonts w:hint="eastAsia" w:ascii="宋体" w:hAnsi="宋体"/>
          <w:b/>
          <w:bCs/>
          <w:spacing w:val="10"/>
          <w:sz w:val="28"/>
          <w:szCs w:val="28"/>
        </w:rPr>
        <w:t>不大于</w:t>
      </w:r>
      <w:r>
        <w:rPr>
          <w:rFonts w:hint="eastAsia"/>
          <w:b/>
          <w:bCs/>
          <w:spacing w:val="10"/>
          <w:sz w:val="28"/>
          <w:szCs w:val="28"/>
          <w:lang w:val="en-US" w:eastAsia="zh-CN"/>
        </w:rPr>
        <w:t>50</w:t>
      </w:r>
      <w:r>
        <w:rPr>
          <w:rFonts w:hint="eastAsia" w:ascii="宋体" w:hAnsi="宋体"/>
          <w:b/>
          <w:bCs/>
          <w:spacing w:val="10"/>
          <w:sz w:val="28"/>
          <w:szCs w:val="28"/>
        </w:rPr>
        <w:t>米</w:t>
      </w:r>
      <w:r>
        <w:rPr>
          <w:rFonts w:hint="eastAsia"/>
          <w:b/>
          <w:bCs/>
          <w:spacing w:val="1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ascii="宋体" w:hAnsi="宋体"/>
          <w:spacing w:val="10"/>
          <w:sz w:val="28"/>
          <w:szCs w:val="28"/>
        </w:rPr>
      </w:pPr>
      <w:r>
        <w:rPr>
          <w:rFonts w:hint="eastAsia" w:ascii="宋体" w:hAnsi="宋体"/>
          <w:spacing w:val="10"/>
          <w:sz w:val="28"/>
          <w:szCs w:val="28"/>
        </w:rPr>
        <w:t>规划</w:t>
      </w:r>
      <w:r>
        <w:rPr>
          <w:rFonts w:hint="eastAsia"/>
          <w:spacing w:val="10"/>
          <w:sz w:val="28"/>
          <w:szCs w:val="28"/>
          <w:lang w:val="en-US" w:eastAsia="zh-CN"/>
        </w:rPr>
        <w:t>其他</w:t>
      </w:r>
      <w:r>
        <w:rPr>
          <w:rFonts w:hint="eastAsia" w:ascii="宋体" w:hAnsi="宋体" w:cs="宋体"/>
          <w:bCs/>
          <w:color w:val="000000"/>
          <w:spacing w:val="10"/>
          <w:sz w:val="28"/>
          <w:szCs w:val="28"/>
        </w:rPr>
        <w:t>地块</w:t>
      </w:r>
      <w:r>
        <w:rPr>
          <w:rFonts w:hint="eastAsia" w:ascii="宋体" w:hAnsi="宋体"/>
          <w:spacing w:val="10"/>
          <w:sz w:val="28"/>
          <w:szCs w:val="28"/>
        </w:rPr>
        <w:t>内建筑高度按原控规执行。</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ascii="宋体" w:hAnsi="宋体" w:cs="宋体"/>
          <w:b/>
          <w:bCs/>
          <w:sz w:val="30"/>
          <w:szCs w:val="30"/>
        </w:rPr>
      </w:pPr>
      <w:bookmarkStart w:id="91" w:name="_Toc4472"/>
      <w:bookmarkStart w:id="92" w:name="_Toc11998"/>
      <w:bookmarkStart w:id="93" w:name="_Toc25628"/>
      <w:bookmarkStart w:id="94" w:name="_Toc10739"/>
      <w:bookmarkStart w:id="95" w:name="_Toc30572"/>
      <w:r>
        <w:rPr>
          <w:rFonts w:hint="eastAsia" w:ascii="宋体" w:hAnsi="宋体" w:cs="宋体"/>
          <w:b/>
          <w:bCs/>
          <w:sz w:val="30"/>
          <w:szCs w:val="30"/>
        </w:rPr>
        <w:t>四、绿地率要求</w:t>
      </w:r>
      <w:bookmarkEnd w:id="91"/>
      <w:bookmarkEnd w:id="92"/>
      <w:bookmarkEnd w:id="93"/>
      <w:bookmarkEnd w:id="94"/>
      <w:bookmarkEnd w:id="95"/>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eastAsia"/>
          <w:b/>
          <w:bCs/>
          <w:spacing w:val="10"/>
          <w:sz w:val="28"/>
          <w:szCs w:val="28"/>
          <w:lang w:val="en-US" w:eastAsia="zh-CN"/>
        </w:rPr>
      </w:pPr>
      <w:r>
        <w:rPr>
          <w:rFonts w:hint="eastAsia" w:ascii="宋体" w:hAnsi="宋体"/>
          <w:b/>
          <w:bCs/>
          <w:spacing w:val="10"/>
          <w:sz w:val="28"/>
          <w:szCs w:val="28"/>
        </w:rPr>
        <w:t>规划</w:t>
      </w:r>
      <w:r>
        <w:rPr>
          <w:rFonts w:hint="eastAsia"/>
          <w:b/>
          <w:bCs/>
          <w:spacing w:val="10"/>
          <w:sz w:val="28"/>
          <w:szCs w:val="28"/>
          <w:lang w:val="en-US" w:eastAsia="zh-CN"/>
        </w:rPr>
        <w:t>A-08-07</w:t>
      </w:r>
      <w:r>
        <w:rPr>
          <w:rFonts w:hint="eastAsia" w:ascii="宋体" w:hAnsi="宋体"/>
          <w:b/>
          <w:bCs/>
          <w:spacing w:val="10"/>
          <w:sz w:val="28"/>
          <w:szCs w:val="28"/>
        </w:rPr>
        <w:t>地块</w:t>
      </w:r>
      <w:r>
        <w:rPr>
          <w:rFonts w:hint="eastAsia"/>
          <w:b/>
          <w:bCs/>
          <w:spacing w:val="10"/>
          <w:sz w:val="28"/>
          <w:szCs w:val="28"/>
          <w:lang w:val="en-US" w:eastAsia="zh-CN"/>
        </w:rPr>
        <w:t>绿地率不小于20%；</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规划</w:t>
      </w:r>
      <w:r>
        <w:rPr>
          <w:rFonts w:hint="eastAsia"/>
          <w:spacing w:val="10"/>
          <w:sz w:val="28"/>
          <w:szCs w:val="28"/>
          <w:lang w:val="en-US" w:eastAsia="zh-CN"/>
        </w:rPr>
        <w:t>其他</w:t>
      </w:r>
      <w:r>
        <w:rPr>
          <w:rFonts w:hint="eastAsia" w:ascii="宋体" w:hAnsi="宋体"/>
          <w:spacing w:val="10"/>
          <w:sz w:val="28"/>
          <w:szCs w:val="28"/>
        </w:rPr>
        <w:t>地块绿地率按原控规执行。</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ascii="宋体" w:hAnsi="宋体" w:cs="宋体"/>
          <w:b/>
          <w:bCs/>
          <w:sz w:val="30"/>
          <w:szCs w:val="30"/>
        </w:rPr>
      </w:pPr>
      <w:bookmarkStart w:id="96" w:name="_Toc30339"/>
      <w:bookmarkStart w:id="97" w:name="_Toc16252"/>
      <w:bookmarkStart w:id="98" w:name="_Toc15259"/>
      <w:bookmarkStart w:id="99" w:name="_Toc26087"/>
      <w:bookmarkStart w:id="100" w:name="_Toc20572"/>
      <w:r>
        <w:rPr>
          <w:rFonts w:hint="eastAsia" w:cs="宋体"/>
          <w:b/>
          <w:bCs/>
          <w:sz w:val="30"/>
          <w:szCs w:val="30"/>
          <w:lang w:val="en-US" w:eastAsia="zh-CN"/>
        </w:rPr>
        <w:t>五</w:t>
      </w:r>
      <w:r>
        <w:rPr>
          <w:rFonts w:hint="eastAsia" w:ascii="宋体" w:hAnsi="宋体" w:cs="宋体"/>
          <w:b/>
          <w:bCs/>
          <w:sz w:val="30"/>
          <w:szCs w:val="30"/>
        </w:rPr>
        <w:t>、配套设施要求</w:t>
      </w:r>
      <w:bookmarkEnd w:id="96"/>
      <w:bookmarkEnd w:id="97"/>
      <w:bookmarkEnd w:id="98"/>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spacing w:val="10"/>
          <w:sz w:val="28"/>
          <w:szCs w:val="28"/>
          <w:lang w:val="en-US" w:eastAsia="zh-CN"/>
        </w:rPr>
        <w:t>规划地块配套设施</w:t>
      </w:r>
      <w:r>
        <w:rPr>
          <w:rFonts w:hint="eastAsia" w:ascii="宋体" w:hAnsi="宋体"/>
          <w:spacing w:val="10"/>
          <w:sz w:val="28"/>
          <w:szCs w:val="28"/>
        </w:rPr>
        <w:t>按原控规执行。</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ascii="宋体" w:hAnsi="宋体" w:cs="宋体"/>
          <w:b/>
          <w:bCs/>
          <w:sz w:val="30"/>
          <w:szCs w:val="30"/>
        </w:rPr>
      </w:pPr>
      <w:bookmarkStart w:id="101" w:name="_Toc21608"/>
      <w:bookmarkStart w:id="102" w:name="_Toc24759"/>
      <w:bookmarkStart w:id="103" w:name="_Toc20801"/>
      <w:r>
        <w:rPr>
          <w:rFonts w:hint="eastAsia" w:cs="宋体"/>
          <w:b/>
          <w:bCs/>
          <w:sz w:val="30"/>
          <w:szCs w:val="30"/>
          <w:lang w:val="en-US" w:eastAsia="zh-CN"/>
        </w:rPr>
        <w:t>六</w:t>
      </w:r>
      <w:r>
        <w:rPr>
          <w:rFonts w:hint="eastAsia" w:ascii="宋体" w:hAnsi="宋体" w:cs="宋体"/>
          <w:b/>
          <w:bCs/>
          <w:sz w:val="30"/>
          <w:szCs w:val="30"/>
        </w:rPr>
        <w:t>、交通组织</w:t>
      </w:r>
      <w:bookmarkEnd w:id="99"/>
      <w:bookmarkEnd w:id="100"/>
      <w:r>
        <w:rPr>
          <w:rFonts w:hint="eastAsia" w:ascii="宋体" w:hAnsi="宋体" w:cs="宋体"/>
          <w:b/>
          <w:bCs/>
          <w:sz w:val="30"/>
          <w:szCs w:val="30"/>
        </w:rPr>
        <w:t>规划</w:t>
      </w:r>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1、外部交通</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宋体" w:hAnsi="宋体" w:eastAsia="宋体"/>
          <w:spacing w:val="10"/>
          <w:sz w:val="28"/>
          <w:szCs w:val="28"/>
          <w:lang w:val="en-US" w:eastAsia="zh-CN"/>
        </w:rPr>
      </w:pPr>
      <w:r>
        <w:rPr>
          <w:rFonts w:hint="eastAsia" w:ascii="宋体" w:hAnsi="宋体"/>
          <w:spacing w:val="10"/>
          <w:sz w:val="28"/>
          <w:szCs w:val="28"/>
        </w:rPr>
        <w:t>项目用地</w:t>
      </w:r>
      <w:r>
        <w:rPr>
          <w:rFonts w:hint="eastAsia"/>
          <w:spacing w:val="10"/>
          <w:sz w:val="28"/>
          <w:szCs w:val="28"/>
          <w:lang w:val="en-US" w:eastAsia="zh-CN"/>
        </w:rPr>
        <w:t>西侧南区路为</w:t>
      </w:r>
      <w:r>
        <w:rPr>
          <w:rFonts w:hint="eastAsia" w:ascii="宋体" w:hAnsi="宋体"/>
          <w:spacing w:val="10"/>
          <w:sz w:val="28"/>
          <w:szCs w:val="28"/>
        </w:rPr>
        <w:t>城市</w:t>
      </w:r>
      <w:r>
        <w:rPr>
          <w:rFonts w:hint="eastAsia"/>
          <w:spacing w:val="10"/>
          <w:sz w:val="28"/>
          <w:szCs w:val="28"/>
          <w:lang w:val="en-US" w:eastAsia="zh-CN"/>
        </w:rPr>
        <w:t>主干道</w:t>
      </w:r>
      <w:r>
        <w:rPr>
          <w:rFonts w:hint="eastAsia" w:ascii="宋体" w:hAnsi="宋体"/>
          <w:spacing w:val="10"/>
          <w:sz w:val="28"/>
          <w:szCs w:val="28"/>
        </w:rPr>
        <w:t>，</w:t>
      </w:r>
      <w:r>
        <w:rPr>
          <w:rFonts w:hint="eastAsia"/>
          <w:spacing w:val="10"/>
          <w:sz w:val="28"/>
          <w:szCs w:val="28"/>
          <w:lang w:val="en-US" w:eastAsia="zh-CN"/>
        </w:rPr>
        <w:t>道路情况良好，用地北侧六门巷为城市次干道，道路情况良好；用地南侧东风东街为城市主干道，道路情况良好。</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spacing w:val="10"/>
          <w:sz w:val="28"/>
          <w:szCs w:val="28"/>
          <w:lang w:val="en-US" w:eastAsia="zh-CN"/>
        </w:rPr>
        <w:t>2</w:t>
      </w:r>
      <w:r>
        <w:rPr>
          <w:rFonts w:hint="eastAsia" w:ascii="宋体" w:hAnsi="宋体"/>
          <w:spacing w:val="10"/>
          <w:sz w:val="28"/>
          <w:szCs w:val="28"/>
        </w:rPr>
        <w:t>、停车位规划</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项目用地停车位要求按原控规要求执行。</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ascii="宋体" w:hAnsi="宋体" w:eastAsia="宋体"/>
          <w:b/>
          <w:bCs/>
          <w:spacing w:val="10"/>
          <w:sz w:val="28"/>
          <w:szCs w:val="28"/>
          <w:lang w:val="en-US" w:eastAsia="zh-CN"/>
        </w:rPr>
      </w:pPr>
      <w:r>
        <w:rPr>
          <w:rFonts w:hint="eastAsia" w:ascii="宋体" w:hAnsi="宋体"/>
          <w:b/>
          <w:bCs/>
          <w:spacing w:val="10"/>
          <w:sz w:val="28"/>
          <w:szCs w:val="28"/>
        </w:rPr>
        <w:t>规划</w:t>
      </w:r>
      <w:r>
        <w:rPr>
          <w:rFonts w:hint="eastAsia"/>
          <w:b/>
          <w:bCs/>
          <w:spacing w:val="10"/>
          <w:sz w:val="28"/>
          <w:szCs w:val="28"/>
          <w:lang w:val="en-US" w:eastAsia="zh-CN"/>
        </w:rPr>
        <w:t>A-08-07地块按1个</w:t>
      </w:r>
      <w:r>
        <w:rPr>
          <w:rFonts w:hint="eastAsia" w:ascii="宋体" w:hAnsi="宋体"/>
          <w:b/>
          <w:bCs/>
          <w:spacing w:val="10"/>
          <w:sz w:val="28"/>
          <w:szCs w:val="28"/>
        </w:rPr>
        <w:t>/</w:t>
      </w:r>
      <w:r>
        <w:rPr>
          <w:rFonts w:hint="eastAsia"/>
          <w:b/>
          <w:bCs/>
          <w:spacing w:val="10"/>
          <w:sz w:val="28"/>
          <w:szCs w:val="28"/>
          <w:lang w:val="en-US" w:eastAsia="zh-CN"/>
        </w:rPr>
        <w:t>100m</w:t>
      </w:r>
      <w:r>
        <w:rPr>
          <w:rFonts w:hint="eastAsia"/>
          <w:b/>
          <w:bCs/>
          <w:spacing w:val="10"/>
          <w:sz w:val="28"/>
          <w:szCs w:val="28"/>
          <w:vertAlign w:val="superscript"/>
          <w:lang w:val="en-US" w:eastAsia="zh-CN"/>
        </w:rPr>
        <w:t>2</w:t>
      </w:r>
      <w:r>
        <w:rPr>
          <w:rFonts w:hint="eastAsia"/>
          <w:b/>
          <w:bCs/>
          <w:spacing w:val="10"/>
          <w:sz w:val="28"/>
          <w:szCs w:val="28"/>
          <w:vertAlign w:val="baseline"/>
          <w:lang w:val="en-US" w:eastAsia="zh-CN"/>
        </w:rPr>
        <w:t>设置停车位</w:t>
      </w:r>
      <w:r>
        <w:rPr>
          <w:rFonts w:hint="eastAsia" w:ascii="宋体" w:hAnsi="宋体"/>
          <w:b/>
          <w:bCs/>
          <w:spacing w:val="10"/>
          <w:sz w:val="28"/>
          <w:szCs w:val="28"/>
        </w:rPr>
        <w:t>。</w:t>
      </w:r>
      <w:r>
        <w:rPr>
          <w:rFonts w:hint="eastAsia"/>
          <w:b/>
          <w:bCs/>
          <w:spacing w:val="10"/>
          <w:sz w:val="28"/>
          <w:szCs w:val="28"/>
          <w:lang w:val="en-US" w:eastAsia="zh-CN"/>
        </w:rPr>
        <w:t>共74个停车位。</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spacing w:val="10"/>
          <w:sz w:val="28"/>
          <w:szCs w:val="28"/>
        </w:rPr>
      </w:pPr>
      <w:r>
        <w:rPr>
          <w:rFonts w:hint="eastAsia" w:ascii="宋体" w:hAnsi="宋体"/>
          <w:spacing w:val="10"/>
          <w:sz w:val="28"/>
          <w:szCs w:val="28"/>
        </w:rPr>
        <w:t>规划</w:t>
      </w:r>
      <w:r>
        <w:rPr>
          <w:rFonts w:hint="eastAsia" w:cs="宋体"/>
          <w:bCs/>
          <w:color w:val="000000"/>
          <w:spacing w:val="10"/>
          <w:sz w:val="28"/>
          <w:szCs w:val="28"/>
          <w:lang w:val="en-US" w:eastAsia="zh-CN"/>
        </w:rPr>
        <w:t>其他</w:t>
      </w:r>
      <w:r>
        <w:rPr>
          <w:rFonts w:hint="eastAsia" w:ascii="宋体" w:hAnsi="宋体" w:cs="宋体"/>
          <w:bCs/>
          <w:color w:val="000000"/>
          <w:spacing w:val="10"/>
          <w:sz w:val="28"/>
          <w:szCs w:val="28"/>
        </w:rPr>
        <w:t>地块</w:t>
      </w:r>
      <w:r>
        <w:rPr>
          <w:rFonts w:hint="eastAsia" w:ascii="宋体" w:hAnsi="宋体"/>
          <w:spacing w:val="10"/>
          <w:sz w:val="28"/>
          <w:szCs w:val="28"/>
        </w:rPr>
        <w:t>按原控规执行。</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ascii="宋体" w:hAnsi="宋体" w:cs="宋体"/>
          <w:b/>
          <w:bCs/>
          <w:sz w:val="30"/>
          <w:szCs w:val="30"/>
        </w:rPr>
      </w:pPr>
      <w:bookmarkStart w:id="104" w:name="_Toc22124"/>
      <w:bookmarkStart w:id="105" w:name="_Toc24882"/>
      <w:bookmarkStart w:id="106" w:name="_Toc30314"/>
      <w:r>
        <w:rPr>
          <w:rFonts w:hint="eastAsia" w:cs="宋体"/>
          <w:b/>
          <w:bCs/>
          <w:sz w:val="30"/>
          <w:szCs w:val="30"/>
          <w:lang w:val="en-US" w:eastAsia="zh-CN"/>
        </w:rPr>
        <w:t>七</w:t>
      </w:r>
      <w:r>
        <w:rPr>
          <w:rFonts w:hint="eastAsia" w:ascii="宋体" w:hAnsi="宋体" w:cs="宋体"/>
          <w:b/>
          <w:bCs/>
          <w:sz w:val="30"/>
          <w:szCs w:val="30"/>
        </w:rPr>
        <w:t>、禁开口路段</w:t>
      </w:r>
      <w:bookmarkEnd w:id="104"/>
      <w:bookmarkEnd w:id="105"/>
      <w:bookmarkEnd w:id="106"/>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lang w:val="en-US" w:eastAsia="zh-CN"/>
        </w:rPr>
      </w:pPr>
      <w:r>
        <w:rPr>
          <w:rFonts w:hint="eastAsia" w:cs="宋体"/>
          <w:bCs/>
          <w:color w:val="000000"/>
          <w:spacing w:val="10"/>
          <w:sz w:val="28"/>
          <w:szCs w:val="28"/>
          <w:lang w:val="en-US" w:eastAsia="zh-CN"/>
        </w:rPr>
        <w:t>项目用地禁止开口路段按照原控规执行。主要为新建北路与六门巷交叉口。具体要求如下：规划确定城市道路交叉口路缘线转角弧线切点向新建北路方向延伸55米范围内、六门巷延伸35米范围内，为禁止开设机动车道出入口路段。</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outlineLvl w:val="1"/>
        <w:rPr>
          <w:rFonts w:hint="eastAsia" w:ascii="宋体" w:hAnsi="宋体" w:cs="宋体"/>
          <w:b/>
          <w:bCs/>
          <w:sz w:val="30"/>
          <w:szCs w:val="30"/>
        </w:rPr>
      </w:pPr>
      <w:bookmarkStart w:id="107" w:name="_Toc22059"/>
      <w:bookmarkStart w:id="108" w:name="_Toc24909"/>
      <w:bookmarkStart w:id="109" w:name="_Toc30748"/>
      <w:bookmarkStart w:id="110" w:name="_Toc14223"/>
      <w:bookmarkStart w:id="111" w:name="_Toc13751"/>
      <w:r>
        <w:rPr>
          <w:rFonts w:hint="eastAsia" w:cs="宋体"/>
          <w:b/>
          <w:bCs/>
          <w:sz w:val="30"/>
          <w:szCs w:val="30"/>
          <w:lang w:val="en-US" w:eastAsia="zh-CN"/>
        </w:rPr>
        <w:t>八</w:t>
      </w:r>
      <w:r>
        <w:rPr>
          <w:rFonts w:hint="eastAsia" w:ascii="宋体" w:hAnsi="宋体" w:cs="宋体"/>
          <w:b/>
          <w:bCs/>
          <w:sz w:val="30"/>
          <w:szCs w:val="30"/>
        </w:rPr>
        <w:t>、市政工程规划要求</w:t>
      </w:r>
      <w:bookmarkEnd w:id="107"/>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cs="宋体"/>
          <w:sz w:val="28"/>
          <w:szCs w:val="28"/>
          <w:lang w:val="en-US" w:eastAsia="zh-CN"/>
        </w:rPr>
      </w:pPr>
      <w:bookmarkStart w:id="112" w:name="_Toc234728092"/>
      <w:bookmarkStart w:id="113" w:name="_Toc32388"/>
      <w:bookmarkStart w:id="114" w:name="_Toc28976"/>
      <w:bookmarkStart w:id="115" w:name="_Toc2495"/>
      <w:bookmarkStart w:id="116" w:name="_Toc2892"/>
      <w:bookmarkStart w:id="117" w:name="_Toc17064"/>
      <w:bookmarkStart w:id="118" w:name="_Toc19948"/>
      <w:bookmarkStart w:id="119" w:name="_Toc16316"/>
      <w:r>
        <w:rPr>
          <w:rFonts w:hint="eastAsia" w:ascii="宋体" w:hAnsi="宋体" w:cs="宋体"/>
          <w:sz w:val="28"/>
          <w:szCs w:val="28"/>
        </w:rPr>
        <w:t>规划</w:t>
      </w:r>
      <w:r>
        <w:rPr>
          <w:rFonts w:hint="eastAsia" w:ascii="宋体" w:hAnsi="宋体" w:cs="宋体"/>
          <w:sz w:val="28"/>
          <w:szCs w:val="28"/>
          <w:lang w:val="en-US" w:eastAsia="zh-CN"/>
        </w:rPr>
        <w:t>各</w:t>
      </w:r>
      <w:r>
        <w:rPr>
          <w:rFonts w:hint="eastAsia" w:ascii="宋体" w:hAnsi="宋体" w:cs="宋体"/>
          <w:sz w:val="28"/>
          <w:szCs w:val="28"/>
        </w:rPr>
        <w:t>地块市政设施规划涉及内容：</w:t>
      </w:r>
      <w:bookmarkEnd w:id="112"/>
      <w:r>
        <w:rPr>
          <w:rFonts w:hint="eastAsia" w:ascii="宋体" w:hAnsi="宋体" w:cs="宋体"/>
          <w:sz w:val="28"/>
          <w:szCs w:val="28"/>
        </w:rPr>
        <w:t>给水管线、排水管线、电力线缆、电讯线缆和热力管线等，均以原控规中相关章节规定为依据，同时应满足各类管线的相关设计规范。</w:t>
      </w:r>
      <w:bookmarkEnd w:id="113"/>
      <w:bookmarkEnd w:id="114"/>
      <w:bookmarkEnd w:id="115"/>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eastAsia" w:ascii="宋体" w:hAnsi="宋体" w:eastAsia="宋体" w:cs="宋体"/>
          <w:b/>
          <w:bCs w:val="0"/>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eastAsia" w:ascii="宋体" w:hAnsi="宋体" w:cs="宋体"/>
          <w:b/>
          <w:bCs/>
          <w:sz w:val="32"/>
          <w:szCs w:val="32"/>
          <w:lang w:val="en-US" w:eastAsia="zh-CN"/>
        </w:rPr>
      </w:pPr>
      <w:bookmarkStart w:id="120" w:name="_Toc27436"/>
      <w:bookmarkStart w:id="121" w:name="_Toc27650"/>
      <w:bookmarkStart w:id="122" w:name="_Toc22330"/>
      <w:r>
        <w:rPr>
          <w:rFonts w:hint="eastAsia" w:ascii="宋体" w:hAnsi="宋体" w:cs="宋体"/>
          <w:b/>
          <w:bCs/>
          <w:sz w:val="32"/>
          <w:szCs w:val="32"/>
          <w:lang w:val="en-US" w:eastAsia="zh-CN"/>
        </w:rPr>
        <w:t>第六章  控规修改可行性分析</w:t>
      </w:r>
      <w:bookmarkEnd w:id="70"/>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outlineLvl w:val="0"/>
        <w:rPr>
          <w:rFonts w:hint="eastAsia" w:ascii="宋体" w:hAnsi="宋体" w:eastAsia="宋体" w:cs="宋体"/>
          <w:b/>
          <w:bCs w:val="0"/>
          <w:color w:val="000000"/>
          <w:sz w:val="28"/>
          <w:szCs w:val="28"/>
          <w:lang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default" w:ascii="宋体" w:hAnsi="宋体" w:eastAsia="宋体" w:cs="宋体"/>
          <w:b/>
          <w:bCs w:val="0"/>
          <w:color w:val="000000"/>
          <w:sz w:val="30"/>
          <w:szCs w:val="30"/>
          <w:lang w:val="en-US" w:eastAsia="zh-CN"/>
        </w:rPr>
      </w:pPr>
      <w:bookmarkStart w:id="123" w:name="_Toc2774"/>
      <w:bookmarkStart w:id="124" w:name="_Toc13425893"/>
      <w:bookmarkStart w:id="125" w:name="_Toc6153"/>
      <w:r>
        <w:rPr>
          <w:rFonts w:hint="eastAsia" w:cs="宋体"/>
          <w:b/>
          <w:bCs w:val="0"/>
          <w:color w:val="000000"/>
          <w:sz w:val="30"/>
          <w:szCs w:val="30"/>
          <w:lang w:val="en-US" w:eastAsia="zh-CN"/>
        </w:rPr>
        <w:t>一、</w:t>
      </w:r>
      <w:r>
        <w:rPr>
          <w:rFonts w:hint="eastAsia" w:ascii="宋体" w:hAnsi="宋体" w:eastAsia="宋体" w:cs="宋体"/>
          <w:b/>
          <w:bCs w:val="0"/>
          <w:color w:val="000000"/>
          <w:sz w:val="30"/>
          <w:szCs w:val="30"/>
          <w:lang w:val="en-US" w:eastAsia="zh-CN"/>
        </w:rPr>
        <w:t>用地</w:t>
      </w:r>
      <w:r>
        <w:rPr>
          <w:rFonts w:hint="eastAsia" w:cs="宋体"/>
          <w:b/>
          <w:bCs w:val="0"/>
          <w:color w:val="000000"/>
          <w:sz w:val="30"/>
          <w:szCs w:val="30"/>
          <w:lang w:val="en-US" w:eastAsia="zh-CN"/>
        </w:rPr>
        <w:t>范围调整</w:t>
      </w:r>
      <w:r>
        <w:rPr>
          <w:rFonts w:hint="eastAsia" w:ascii="宋体" w:hAnsi="宋体" w:eastAsia="宋体" w:cs="宋体"/>
          <w:b/>
          <w:bCs w:val="0"/>
          <w:color w:val="000000"/>
          <w:sz w:val="30"/>
          <w:szCs w:val="30"/>
          <w:lang w:val="en-US" w:eastAsia="zh-CN"/>
        </w:rPr>
        <w:t>分析</w:t>
      </w:r>
      <w:bookmarkEnd w:id="123"/>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宋体" w:hAnsi="宋体" w:cs="宋体"/>
          <w:sz w:val="28"/>
          <w:szCs w:val="28"/>
          <w:lang w:val="en-US" w:eastAsia="zh-CN"/>
        </w:rPr>
      </w:pPr>
      <w:r>
        <w:rPr>
          <w:rFonts w:hint="eastAsia" w:cs="宋体"/>
          <w:sz w:val="28"/>
          <w:szCs w:val="28"/>
          <w:lang w:val="en-US" w:eastAsia="zh-CN"/>
        </w:rPr>
        <w:t>A-08-02</w:t>
      </w:r>
      <w:r>
        <w:rPr>
          <w:rFonts w:hint="eastAsia" w:ascii="宋体" w:hAnsi="宋体" w:cs="宋体"/>
          <w:sz w:val="28"/>
          <w:szCs w:val="28"/>
          <w:lang w:val="en-US" w:eastAsia="zh-CN"/>
        </w:rPr>
        <w:t>地块用地面积由</w:t>
      </w:r>
      <w:r>
        <w:rPr>
          <w:rFonts w:hint="eastAsia" w:cs="宋体"/>
          <w:sz w:val="28"/>
          <w:szCs w:val="28"/>
          <w:lang w:val="en-US" w:eastAsia="zh-CN"/>
        </w:rPr>
        <w:t>0.72</w:t>
      </w:r>
      <w:r>
        <w:rPr>
          <w:rFonts w:hint="eastAsia" w:ascii="宋体" w:hAnsi="宋体" w:cs="宋体"/>
          <w:sz w:val="28"/>
          <w:szCs w:val="28"/>
          <w:lang w:val="en-US" w:eastAsia="zh-CN"/>
        </w:rPr>
        <w:t>公顷调整为</w:t>
      </w:r>
      <w:r>
        <w:rPr>
          <w:rFonts w:hint="eastAsia" w:cs="宋体"/>
          <w:sz w:val="28"/>
          <w:szCs w:val="28"/>
          <w:lang w:val="en-US" w:eastAsia="zh-CN"/>
        </w:rPr>
        <w:t>0.53</w:t>
      </w:r>
      <w:r>
        <w:rPr>
          <w:rFonts w:hint="eastAsia" w:ascii="宋体" w:hAnsi="宋体" w:cs="宋体"/>
          <w:sz w:val="28"/>
          <w:szCs w:val="28"/>
          <w:lang w:val="en-US" w:eastAsia="zh-CN"/>
        </w:rPr>
        <w:t>公顷</w:t>
      </w:r>
      <w:r>
        <w:rPr>
          <w:rFonts w:hint="eastAsia" w:cs="宋体"/>
          <w:sz w:val="28"/>
          <w:szCs w:val="28"/>
          <w:lang w:val="en-US" w:eastAsia="zh-CN"/>
        </w:rPr>
        <w:t>,A-08-07</w:t>
      </w:r>
      <w:r>
        <w:rPr>
          <w:rFonts w:hint="eastAsia" w:ascii="宋体" w:hAnsi="宋体" w:cs="宋体"/>
          <w:sz w:val="28"/>
          <w:szCs w:val="28"/>
          <w:lang w:val="en-US" w:eastAsia="zh-CN"/>
        </w:rPr>
        <w:t>地块</w:t>
      </w:r>
      <w:r>
        <w:rPr>
          <w:rFonts w:hint="eastAsia" w:cs="宋体"/>
          <w:sz w:val="28"/>
          <w:szCs w:val="28"/>
          <w:lang w:val="en-US" w:eastAsia="zh-CN"/>
        </w:rPr>
        <w:t>用地面积为剩余的0.19公顷</w:t>
      </w:r>
      <w:r>
        <w:rPr>
          <w:rFonts w:hint="eastAsia" w:ascii="宋体" w:hAnsi="宋体" w:cs="宋体"/>
          <w:sz w:val="28"/>
          <w:szCs w:val="28"/>
          <w:lang w:val="en-US" w:eastAsia="zh-CN"/>
        </w:rPr>
        <w:t>。</w:t>
      </w:r>
      <w:r>
        <w:rPr>
          <w:rFonts w:hint="eastAsia" w:cs="宋体"/>
          <w:sz w:val="28"/>
          <w:szCs w:val="28"/>
          <w:lang w:val="en-US" w:eastAsia="zh-CN"/>
        </w:rPr>
        <w:t>本次面积调整主要是因为A-08-02</w:t>
      </w:r>
      <w:r>
        <w:rPr>
          <w:rFonts w:hint="eastAsia" w:ascii="宋体" w:hAnsi="宋体" w:cs="宋体"/>
          <w:sz w:val="28"/>
          <w:szCs w:val="28"/>
          <w:lang w:val="en-US" w:eastAsia="zh-CN"/>
        </w:rPr>
        <w:t>地块</w:t>
      </w:r>
      <w:r>
        <w:rPr>
          <w:rFonts w:hint="eastAsia" w:cs="宋体"/>
          <w:sz w:val="28"/>
          <w:szCs w:val="28"/>
          <w:lang w:val="en-US" w:eastAsia="zh-CN"/>
        </w:rPr>
        <w:t>上的南侧部分建筑因建设年代久远，存在较大的安全隐患，需要拆除重建，但北侧的建筑情况良好，因此仅需将拆除重建的部分调整为一个新的地块为A-08-07，并提出用地指标，A-08-02</w:t>
      </w:r>
      <w:r>
        <w:rPr>
          <w:rFonts w:hint="eastAsia" w:ascii="宋体" w:hAnsi="宋体" w:cs="宋体"/>
          <w:sz w:val="28"/>
          <w:szCs w:val="28"/>
          <w:lang w:val="en-US" w:eastAsia="zh-CN"/>
        </w:rPr>
        <w:t>地块</w:t>
      </w:r>
      <w:r>
        <w:rPr>
          <w:rFonts w:hint="eastAsia" w:cs="宋体"/>
          <w:sz w:val="28"/>
          <w:szCs w:val="28"/>
          <w:lang w:val="en-US" w:eastAsia="zh-CN"/>
        </w:rPr>
        <w:t>剩余部分用地指标将按原控规执行。项目用地紧邻新建北路，重建后的A-08-07地块更符合夏县中心城区的发展规划。</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cs="宋体"/>
          <w:sz w:val="28"/>
          <w:szCs w:val="28"/>
        </w:rPr>
      </w:pPr>
      <w:r>
        <w:rPr>
          <w:rFonts w:hint="eastAsia" w:cs="宋体"/>
          <w:sz w:val="28"/>
          <w:szCs w:val="28"/>
          <w:lang w:val="en-US" w:eastAsia="zh-CN"/>
        </w:rPr>
        <w:t>综上所述，</w:t>
      </w:r>
      <w:r>
        <w:rPr>
          <w:rFonts w:hint="eastAsia" w:ascii="宋体" w:hAnsi="宋体" w:cs="宋体"/>
          <w:sz w:val="28"/>
          <w:szCs w:val="28"/>
        </w:rPr>
        <w:t>用地</w:t>
      </w:r>
      <w:r>
        <w:rPr>
          <w:rFonts w:hint="eastAsia" w:cs="宋体"/>
          <w:sz w:val="28"/>
          <w:szCs w:val="28"/>
          <w:lang w:val="en-US" w:eastAsia="zh-CN"/>
        </w:rPr>
        <w:t>面积</w:t>
      </w:r>
      <w:r>
        <w:rPr>
          <w:rFonts w:hint="eastAsia" w:ascii="宋体" w:hAnsi="宋体" w:cs="宋体"/>
          <w:sz w:val="28"/>
          <w:szCs w:val="28"/>
        </w:rPr>
        <w:t>调整后，</w:t>
      </w:r>
      <w:r>
        <w:rPr>
          <w:rFonts w:hint="eastAsia" w:cs="宋体"/>
          <w:sz w:val="28"/>
          <w:szCs w:val="28"/>
          <w:lang w:val="en-US" w:eastAsia="zh-CN"/>
        </w:rPr>
        <w:t>有利于城市现状的发展，不会对城市的发展造成影响</w:t>
      </w:r>
      <w:r>
        <w:rPr>
          <w:rFonts w:hint="eastAsia" w:ascii="宋体" w:hAnsi="宋体" w:cs="宋体"/>
          <w:sz w:val="28"/>
          <w:szCs w:val="28"/>
        </w:rPr>
        <w:t>。</w:t>
      </w:r>
    </w:p>
    <w:bookmarkEnd w:id="124"/>
    <w:bookmarkEnd w:id="125"/>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bookmarkStart w:id="126" w:name="_Toc8325"/>
      <w:bookmarkStart w:id="127" w:name="_Toc4578"/>
      <w:r>
        <w:rPr>
          <w:rFonts w:hint="eastAsia" w:cs="宋体"/>
          <w:b/>
          <w:bCs w:val="0"/>
          <w:color w:val="000000"/>
          <w:sz w:val="30"/>
          <w:szCs w:val="30"/>
          <w:lang w:val="en-US" w:eastAsia="zh-CN"/>
        </w:rPr>
        <w:t>二、用地指标分析</w:t>
      </w:r>
      <w:bookmarkEnd w:id="126"/>
      <w:bookmarkEnd w:id="127"/>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cs="宋体"/>
          <w:sz w:val="28"/>
          <w:szCs w:val="28"/>
          <w:lang w:val="en-US" w:eastAsia="zh-CN"/>
        </w:rPr>
      </w:pPr>
      <w:r>
        <w:rPr>
          <w:rFonts w:hint="eastAsia" w:cs="宋体"/>
          <w:sz w:val="28"/>
          <w:szCs w:val="28"/>
          <w:lang w:val="en-US" w:eastAsia="zh-CN"/>
        </w:rPr>
        <w:t>用地指标修改主要将A-08-07地块用地进行调整。提出用地控制指标为：容积率不大于3.9，建筑密度不大于50%，建筑高度不大于50米，绿地率不小于20%。</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cs="宋体"/>
          <w:sz w:val="28"/>
          <w:szCs w:val="28"/>
          <w:lang w:val="en-US" w:eastAsia="zh-CN"/>
        </w:rPr>
      </w:pPr>
      <w:bookmarkStart w:id="128" w:name="_Toc28573"/>
      <w:r>
        <w:rPr>
          <w:rFonts w:hint="eastAsia" w:cs="宋体"/>
          <w:color w:val="auto"/>
          <w:sz w:val="28"/>
          <w:szCs w:val="28"/>
          <w:lang w:val="en-US" w:eastAsia="zh-CN"/>
        </w:rPr>
        <w:t>商业用地指标没有相关规范规定，由于商业用地面积限制，太小的容积率无法发挥地块价值，项目已与夏县自然资源局取得沟通，并</w:t>
      </w:r>
      <w:r>
        <w:rPr>
          <w:rFonts w:hint="eastAsia" w:cs="宋体"/>
          <w:sz w:val="28"/>
          <w:szCs w:val="28"/>
          <w:lang w:val="en-US" w:eastAsia="zh-CN"/>
        </w:rPr>
        <w:t>参考《运城市规划技术管理规定》第9条，关于对居住用地、商业服务业设施用地地上容积率、建筑密度的规定，用地面积小于2公顷的商业服务业设施用地容积率上限为6.0，建筑密度上限为60%。根据地块的平面布置示意图，因此本地块确定容积率为3.9。</w:t>
      </w:r>
    </w:p>
    <w:p>
      <w:pPr>
        <w:jc w:val="center"/>
        <w:rPr>
          <w:rFonts w:hint="eastAsia"/>
          <w:sz w:val="22"/>
          <w:szCs w:val="28"/>
        </w:rPr>
      </w:pPr>
      <w:r>
        <w:rPr>
          <w:rFonts w:hint="eastAsia"/>
          <w:sz w:val="22"/>
          <w:szCs w:val="28"/>
          <w:lang w:val="en-US" w:eastAsia="zh-CN"/>
        </w:rPr>
        <w:t>表：</w:t>
      </w:r>
      <w:r>
        <w:rPr>
          <w:rFonts w:hint="eastAsia"/>
          <w:sz w:val="22"/>
          <w:szCs w:val="28"/>
        </w:rPr>
        <w:t>居住用地、商业服务业设施用地地上容积率、建筑密度上限参考值</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978"/>
        <w:gridCol w:w="1680"/>
        <w:gridCol w:w="1084"/>
        <w:gridCol w:w="1214"/>
        <w:gridCol w:w="1215"/>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restart"/>
            <w:vAlign w:val="center"/>
          </w:tcPr>
          <w:p>
            <w:pPr>
              <w:jc w:val="center"/>
              <w:rPr>
                <w:rFonts w:hint="eastAsia" w:eastAsiaTheme="minorEastAsia"/>
                <w:sz w:val="22"/>
                <w:szCs w:val="28"/>
                <w:vertAlign w:val="baseline"/>
                <w:lang w:val="en-US" w:eastAsia="zh-CN"/>
              </w:rPr>
            </w:pPr>
            <w:r>
              <w:rPr>
                <w:rFonts w:hint="eastAsia"/>
                <w:sz w:val="22"/>
                <w:szCs w:val="28"/>
                <w:vertAlign w:val="baseline"/>
                <w:lang w:val="en-US" w:eastAsia="zh-CN"/>
              </w:rPr>
              <w:t>用地类别</w:t>
            </w:r>
          </w:p>
        </w:tc>
        <w:tc>
          <w:tcPr>
            <w:tcW w:w="2665" w:type="dxa"/>
            <w:gridSpan w:val="2"/>
            <w:vMerge w:val="restart"/>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建筑高度</w:t>
            </w:r>
          </w:p>
        </w:tc>
        <w:tc>
          <w:tcPr>
            <w:tcW w:w="2304" w:type="dxa"/>
            <w:gridSpan w:val="2"/>
            <w:vAlign w:val="center"/>
          </w:tcPr>
          <w:p>
            <w:pPr>
              <w:jc w:val="center"/>
              <w:rPr>
                <w:rFonts w:hint="eastAsia"/>
                <w:sz w:val="22"/>
                <w:szCs w:val="28"/>
                <w:vertAlign w:val="baseline"/>
              </w:rPr>
            </w:pPr>
            <w:r>
              <w:rPr>
                <w:rFonts w:hint="eastAsia"/>
                <w:sz w:val="22"/>
                <w:szCs w:val="28"/>
                <w:vertAlign w:val="baseline"/>
                <w:lang w:val="en-US" w:eastAsia="zh-CN"/>
              </w:rPr>
              <w:t>S≤2公顷</w:t>
            </w:r>
          </w:p>
        </w:tc>
        <w:tc>
          <w:tcPr>
            <w:tcW w:w="2436" w:type="dxa"/>
            <w:gridSpan w:val="2"/>
            <w:vAlign w:val="center"/>
          </w:tcPr>
          <w:p>
            <w:pPr>
              <w:jc w:val="center"/>
              <w:rPr>
                <w:rFonts w:hint="eastAsia"/>
                <w:sz w:val="22"/>
                <w:szCs w:val="28"/>
                <w:vertAlign w:val="baseline"/>
              </w:rPr>
            </w:pPr>
            <w:r>
              <w:rPr>
                <w:rFonts w:hint="eastAsia"/>
                <w:sz w:val="22"/>
                <w:szCs w:val="28"/>
                <w:vertAlign w:val="baseline"/>
                <w:lang w:val="en-US" w:eastAsia="zh-CN"/>
              </w:rPr>
              <w:t>S＞2公顷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continue"/>
            <w:vAlign w:val="center"/>
          </w:tcPr>
          <w:p>
            <w:pPr>
              <w:jc w:val="center"/>
              <w:rPr>
                <w:rFonts w:hint="eastAsia" w:eastAsiaTheme="minorEastAsia"/>
                <w:sz w:val="22"/>
                <w:szCs w:val="28"/>
                <w:vertAlign w:val="baseline"/>
                <w:lang w:val="en-US" w:eastAsia="zh-CN"/>
              </w:rPr>
            </w:pPr>
          </w:p>
        </w:tc>
        <w:tc>
          <w:tcPr>
            <w:tcW w:w="2665" w:type="dxa"/>
            <w:gridSpan w:val="2"/>
            <w:vMerge w:val="continue"/>
            <w:vAlign w:val="center"/>
          </w:tcPr>
          <w:p>
            <w:pPr>
              <w:jc w:val="center"/>
              <w:rPr>
                <w:rFonts w:hint="default" w:eastAsiaTheme="minorEastAsia"/>
                <w:sz w:val="22"/>
                <w:szCs w:val="28"/>
                <w:vertAlign w:val="baseline"/>
                <w:lang w:val="en-US" w:eastAsia="zh-CN"/>
              </w:rPr>
            </w:pPr>
          </w:p>
        </w:tc>
        <w:tc>
          <w:tcPr>
            <w:tcW w:w="1086" w:type="dxa"/>
            <w:vAlign w:val="center"/>
          </w:tcPr>
          <w:p>
            <w:pPr>
              <w:jc w:val="center"/>
              <w:rPr>
                <w:rFonts w:hint="eastAsia" w:eastAsiaTheme="minorEastAsia"/>
                <w:sz w:val="22"/>
                <w:szCs w:val="28"/>
                <w:vertAlign w:val="baseline"/>
                <w:lang w:val="en-US" w:eastAsia="zh-CN"/>
              </w:rPr>
            </w:pPr>
            <w:r>
              <w:rPr>
                <w:rFonts w:hint="eastAsia"/>
                <w:sz w:val="22"/>
                <w:szCs w:val="28"/>
                <w:vertAlign w:val="baseline"/>
                <w:lang w:val="en-US" w:eastAsia="zh-CN"/>
              </w:rPr>
              <w:t>容积率</w:t>
            </w:r>
          </w:p>
        </w:tc>
        <w:tc>
          <w:tcPr>
            <w:tcW w:w="1218" w:type="dxa"/>
            <w:vAlign w:val="center"/>
          </w:tcPr>
          <w:p>
            <w:pPr>
              <w:jc w:val="center"/>
              <w:rPr>
                <w:rFonts w:hint="eastAsia" w:eastAsiaTheme="minorEastAsia"/>
                <w:sz w:val="22"/>
                <w:szCs w:val="28"/>
                <w:vertAlign w:val="baseline"/>
                <w:lang w:val="en-US" w:eastAsia="zh-CN"/>
              </w:rPr>
            </w:pPr>
            <w:r>
              <w:rPr>
                <w:rFonts w:hint="eastAsia"/>
                <w:sz w:val="22"/>
                <w:szCs w:val="28"/>
                <w:vertAlign w:val="baseline"/>
                <w:lang w:val="en-US" w:eastAsia="zh-CN"/>
              </w:rPr>
              <w:t>建筑密度</w:t>
            </w:r>
          </w:p>
        </w:tc>
        <w:tc>
          <w:tcPr>
            <w:tcW w:w="1218" w:type="dxa"/>
            <w:vAlign w:val="center"/>
          </w:tcPr>
          <w:p>
            <w:pPr>
              <w:jc w:val="center"/>
              <w:rPr>
                <w:rFonts w:hint="eastAsia" w:eastAsiaTheme="minorEastAsia"/>
                <w:sz w:val="22"/>
                <w:szCs w:val="28"/>
                <w:vertAlign w:val="baseline"/>
                <w:lang w:val="en-US" w:eastAsia="zh-CN"/>
              </w:rPr>
            </w:pPr>
            <w:r>
              <w:rPr>
                <w:rFonts w:hint="eastAsia"/>
                <w:sz w:val="22"/>
                <w:szCs w:val="28"/>
                <w:vertAlign w:val="baseline"/>
                <w:lang w:val="en-US" w:eastAsia="zh-CN"/>
              </w:rPr>
              <w:t>容积率</w:t>
            </w:r>
          </w:p>
        </w:tc>
        <w:tc>
          <w:tcPr>
            <w:tcW w:w="1218" w:type="dxa"/>
            <w:vAlign w:val="center"/>
          </w:tcPr>
          <w:p>
            <w:pPr>
              <w:jc w:val="center"/>
              <w:rPr>
                <w:rFonts w:hint="eastAsia" w:eastAsiaTheme="minorEastAsia"/>
                <w:sz w:val="22"/>
                <w:szCs w:val="28"/>
                <w:vertAlign w:val="baseline"/>
                <w:lang w:val="en-US" w:eastAsia="zh-CN"/>
              </w:rPr>
            </w:pPr>
            <w:r>
              <w:rPr>
                <w:rFonts w:hint="eastAsia"/>
                <w:sz w:val="22"/>
                <w:szCs w:val="28"/>
                <w:vertAlign w:val="baseline"/>
                <w:lang w:val="en-US" w:eastAsia="zh-CN"/>
              </w:rPr>
              <w:t>建筑密度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restart"/>
            <w:vAlign w:val="center"/>
          </w:tcPr>
          <w:p>
            <w:pPr>
              <w:jc w:val="center"/>
              <w:rPr>
                <w:rFonts w:hint="eastAsia" w:asciiTheme="minorHAnsi" w:hAnsiTheme="minorHAnsi" w:eastAsiaTheme="minorEastAsia" w:cstheme="minorBidi"/>
                <w:kern w:val="2"/>
                <w:sz w:val="22"/>
                <w:szCs w:val="28"/>
                <w:vertAlign w:val="baseline"/>
                <w:lang w:val="en-US" w:eastAsia="zh-CN" w:bidi="ar-SA"/>
              </w:rPr>
            </w:pPr>
            <w:r>
              <w:rPr>
                <w:rFonts w:hint="eastAsia"/>
                <w:sz w:val="22"/>
                <w:szCs w:val="28"/>
                <w:vertAlign w:val="baseline"/>
                <w:lang w:val="en-US" w:eastAsia="zh-CN"/>
              </w:rPr>
              <w:t>居住用地</w:t>
            </w:r>
          </w:p>
        </w:tc>
        <w:tc>
          <w:tcPr>
            <w:tcW w:w="980" w:type="dxa"/>
            <w:vMerge w:val="restart"/>
            <w:vAlign w:val="center"/>
          </w:tcPr>
          <w:p>
            <w:pPr>
              <w:jc w:val="center"/>
              <w:rPr>
                <w:rFonts w:hint="eastAsia" w:asciiTheme="minorHAnsi" w:hAnsiTheme="minorHAnsi" w:eastAsiaTheme="minorEastAsia" w:cstheme="minorBidi"/>
                <w:kern w:val="2"/>
                <w:sz w:val="22"/>
                <w:szCs w:val="28"/>
                <w:vertAlign w:val="baseline"/>
                <w:lang w:val="en-US" w:eastAsia="zh-CN" w:bidi="ar-SA"/>
              </w:rPr>
            </w:pPr>
            <w:r>
              <w:rPr>
                <w:rFonts w:hint="eastAsia"/>
                <w:sz w:val="22"/>
                <w:szCs w:val="28"/>
                <w:vertAlign w:val="baseline"/>
                <w:lang w:val="en-US" w:eastAsia="zh-CN"/>
              </w:rPr>
              <w:t>保障性住宅</w:t>
            </w:r>
          </w:p>
        </w:tc>
        <w:tc>
          <w:tcPr>
            <w:tcW w:w="1685" w:type="dxa"/>
            <w:vAlign w:val="center"/>
          </w:tcPr>
          <w:p>
            <w:pPr>
              <w:jc w:val="center"/>
              <w:rPr>
                <w:rFonts w:hint="default" w:asciiTheme="minorHAnsi" w:hAnsiTheme="minorHAnsi" w:eastAsiaTheme="minorEastAsia" w:cstheme="minorBidi"/>
                <w:kern w:val="2"/>
                <w:sz w:val="22"/>
                <w:szCs w:val="28"/>
                <w:vertAlign w:val="baseline"/>
                <w:lang w:val="en-US" w:eastAsia="zh-CN" w:bidi="ar-SA"/>
              </w:rPr>
            </w:pPr>
            <w:r>
              <w:rPr>
                <w:rFonts w:hint="eastAsia"/>
                <w:sz w:val="22"/>
                <w:szCs w:val="28"/>
                <w:vertAlign w:val="baseline"/>
                <w:lang w:val="en-US" w:eastAsia="zh-CN"/>
              </w:rPr>
              <w:t>低多层</w:t>
            </w:r>
          </w:p>
        </w:tc>
        <w:tc>
          <w:tcPr>
            <w:tcW w:w="1086"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1.8</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30</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1.8</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continue"/>
            <w:vAlign w:val="center"/>
          </w:tcPr>
          <w:p>
            <w:pPr>
              <w:jc w:val="center"/>
              <w:rPr>
                <w:rFonts w:hint="eastAsia" w:asciiTheme="minorHAnsi" w:hAnsiTheme="minorHAnsi" w:eastAsiaTheme="minorEastAsia" w:cstheme="minorBidi"/>
                <w:kern w:val="2"/>
                <w:sz w:val="22"/>
                <w:szCs w:val="28"/>
                <w:vertAlign w:val="baseline"/>
                <w:lang w:val="en-US" w:eastAsia="zh-CN" w:bidi="ar-SA"/>
              </w:rPr>
            </w:pPr>
          </w:p>
        </w:tc>
        <w:tc>
          <w:tcPr>
            <w:tcW w:w="980" w:type="dxa"/>
            <w:vMerge w:val="continue"/>
            <w:vAlign w:val="center"/>
          </w:tcPr>
          <w:p>
            <w:pPr>
              <w:jc w:val="center"/>
              <w:rPr>
                <w:rFonts w:hint="default" w:asciiTheme="minorHAnsi" w:hAnsiTheme="minorHAnsi" w:eastAsiaTheme="minorEastAsia" w:cstheme="minorBidi"/>
                <w:kern w:val="2"/>
                <w:sz w:val="22"/>
                <w:szCs w:val="28"/>
                <w:vertAlign w:val="baseline"/>
                <w:lang w:val="en-US" w:eastAsia="zh-CN" w:bidi="ar-SA"/>
              </w:rPr>
            </w:pPr>
          </w:p>
        </w:tc>
        <w:tc>
          <w:tcPr>
            <w:tcW w:w="1685" w:type="dxa"/>
            <w:vAlign w:val="center"/>
          </w:tcPr>
          <w:p>
            <w:pPr>
              <w:jc w:val="center"/>
              <w:rPr>
                <w:rFonts w:hint="eastAsia" w:asciiTheme="minorHAnsi" w:hAnsiTheme="minorHAnsi" w:eastAsiaTheme="minorEastAsia" w:cstheme="minorBidi"/>
                <w:kern w:val="2"/>
                <w:sz w:val="22"/>
                <w:szCs w:val="28"/>
                <w:vertAlign w:val="baseline"/>
                <w:lang w:val="en-US" w:eastAsia="zh-CN" w:bidi="ar-SA"/>
              </w:rPr>
            </w:pPr>
            <w:r>
              <w:rPr>
                <w:rFonts w:hint="eastAsia"/>
                <w:sz w:val="22"/>
                <w:szCs w:val="28"/>
                <w:vertAlign w:val="baseline"/>
                <w:lang w:val="en-US" w:eastAsia="zh-CN"/>
              </w:rPr>
              <w:t>中高层、高层</w:t>
            </w:r>
          </w:p>
        </w:tc>
        <w:tc>
          <w:tcPr>
            <w:tcW w:w="1086"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3.5</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28</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3.5</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pPr>
              <w:jc w:val="center"/>
              <w:rPr>
                <w:rFonts w:hint="eastAsia" w:asciiTheme="minorHAnsi" w:hAnsiTheme="minorHAnsi" w:eastAsiaTheme="minorEastAsia" w:cstheme="minorBidi"/>
                <w:kern w:val="2"/>
                <w:sz w:val="22"/>
                <w:szCs w:val="28"/>
                <w:vertAlign w:val="baseline"/>
                <w:lang w:val="en-US" w:eastAsia="zh-CN" w:bidi="ar-SA"/>
              </w:rPr>
            </w:pPr>
          </w:p>
        </w:tc>
        <w:tc>
          <w:tcPr>
            <w:tcW w:w="980" w:type="dxa"/>
            <w:vMerge w:val="restart"/>
            <w:vAlign w:val="center"/>
          </w:tcPr>
          <w:p>
            <w:pPr>
              <w:jc w:val="center"/>
              <w:rPr>
                <w:rFonts w:hint="eastAsia" w:asciiTheme="minorHAnsi" w:hAnsiTheme="minorHAnsi" w:eastAsiaTheme="minorEastAsia" w:cstheme="minorBidi"/>
                <w:kern w:val="2"/>
                <w:sz w:val="22"/>
                <w:szCs w:val="28"/>
                <w:vertAlign w:val="baseline"/>
                <w:lang w:val="en-US" w:eastAsia="zh-CN" w:bidi="ar-SA"/>
              </w:rPr>
            </w:pPr>
            <w:r>
              <w:rPr>
                <w:rFonts w:hint="eastAsia"/>
                <w:sz w:val="22"/>
                <w:szCs w:val="28"/>
                <w:vertAlign w:val="baseline"/>
                <w:lang w:val="en-US" w:eastAsia="zh-CN"/>
              </w:rPr>
              <w:t>一般住宅</w:t>
            </w:r>
          </w:p>
        </w:tc>
        <w:tc>
          <w:tcPr>
            <w:tcW w:w="1685" w:type="dxa"/>
            <w:vAlign w:val="center"/>
          </w:tcPr>
          <w:p>
            <w:pPr>
              <w:jc w:val="center"/>
              <w:rPr>
                <w:rFonts w:hint="eastAsia" w:asciiTheme="minorHAnsi" w:hAnsiTheme="minorHAnsi" w:eastAsiaTheme="minorEastAsia" w:cstheme="minorBidi"/>
                <w:kern w:val="2"/>
                <w:sz w:val="22"/>
                <w:szCs w:val="28"/>
                <w:vertAlign w:val="baseline"/>
                <w:lang w:val="en-US" w:eastAsia="zh-CN" w:bidi="ar-SA"/>
              </w:rPr>
            </w:pPr>
            <w:r>
              <w:rPr>
                <w:rFonts w:hint="eastAsia"/>
                <w:sz w:val="22"/>
                <w:szCs w:val="28"/>
                <w:vertAlign w:val="baseline"/>
                <w:lang w:val="en-US" w:eastAsia="zh-CN"/>
              </w:rPr>
              <w:t>低多层</w:t>
            </w:r>
          </w:p>
        </w:tc>
        <w:tc>
          <w:tcPr>
            <w:tcW w:w="1086"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1.8</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30</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1.8</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continue"/>
            <w:vAlign w:val="center"/>
          </w:tcPr>
          <w:p>
            <w:pPr>
              <w:jc w:val="center"/>
              <w:rPr>
                <w:rFonts w:hint="eastAsia" w:asciiTheme="minorHAnsi" w:hAnsiTheme="minorHAnsi" w:eastAsiaTheme="minorEastAsia" w:cstheme="minorBidi"/>
                <w:kern w:val="2"/>
                <w:sz w:val="22"/>
                <w:szCs w:val="28"/>
                <w:vertAlign w:val="baseline"/>
                <w:lang w:val="en-US" w:eastAsia="zh-CN" w:bidi="ar-SA"/>
              </w:rPr>
            </w:pPr>
          </w:p>
        </w:tc>
        <w:tc>
          <w:tcPr>
            <w:tcW w:w="980" w:type="dxa"/>
            <w:vMerge w:val="continue"/>
            <w:vAlign w:val="center"/>
          </w:tcPr>
          <w:p>
            <w:pPr>
              <w:jc w:val="center"/>
              <w:rPr>
                <w:rFonts w:hint="eastAsia" w:asciiTheme="minorHAnsi" w:hAnsiTheme="minorHAnsi" w:eastAsiaTheme="minorEastAsia" w:cstheme="minorBidi"/>
                <w:kern w:val="2"/>
                <w:sz w:val="22"/>
                <w:szCs w:val="28"/>
                <w:vertAlign w:val="baseline"/>
                <w:lang w:val="en-US" w:eastAsia="zh-CN" w:bidi="ar-SA"/>
              </w:rPr>
            </w:pPr>
          </w:p>
        </w:tc>
        <w:tc>
          <w:tcPr>
            <w:tcW w:w="1685" w:type="dxa"/>
            <w:vAlign w:val="center"/>
          </w:tcPr>
          <w:p>
            <w:pPr>
              <w:jc w:val="center"/>
              <w:rPr>
                <w:rFonts w:hint="eastAsia" w:asciiTheme="minorHAnsi" w:hAnsiTheme="minorHAnsi" w:eastAsiaTheme="minorEastAsia" w:cstheme="minorBidi"/>
                <w:kern w:val="2"/>
                <w:sz w:val="22"/>
                <w:szCs w:val="28"/>
                <w:vertAlign w:val="baseline"/>
                <w:lang w:val="en-US" w:eastAsia="zh-CN" w:bidi="ar-SA"/>
              </w:rPr>
            </w:pPr>
            <w:r>
              <w:rPr>
                <w:rFonts w:hint="eastAsia"/>
                <w:sz w:val="22"/>
                <w:szCs w:val="28"/>
                <w:vertAlign w:val="baseline"/>
                <w:lang w:val="en-US" w:eastAsia="zh-CN"/>
              </w:rPr>
              <w:t>中高层、高层</w:t>
            </w:r>
          </w:p>
        </w:tc>
        <w:tc>
          <w:tcPr>
            <w:tcW w:w="1086"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3.5</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28</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3.0</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Align w:val="center"/>
          </w:tcPr>
          <w:p>
            <w:pPr>
              <w:jc w:val="center"/>
              <w:rPr>
                <w:rFonts w:hint="eastAsia" w:eastAsiaTheme="minorEastAsia"/>
                <w:sz w:val="22"/>
                <w:szCs w:val="28"/>
                <w:vertAlign w:val="baseline"/>
                <w:lang w:val="en-US" w:eastAsia="zh-CN"/>
              </w:rPr>
            </w:pPr>
            <w:r>
              <w:rPr>
                <w:rFonts w:hint="eastAsia"/>
                <w:sz w:val="22"/>
                <w:szCs w:val="28"/>
                <w:vertAlign w:val="baseline"/>
                <w:lang w:val="en-US" w:eastAsia="zh-CN"/>
              </w:rPr>
              <w:t>商业服务业设施用地</w:t>
            </w:r>
          </w:p>
        </w:tc>
        <w:tc>
          <w:tcPr>
            <w:tcW w:w="980" w:type="dxa"/>
            <w:vAlign w:val="center"/>
          </w:tcPr>
          <w:p>
            <w:pPr>
              <w:jc w:val="center"/>
              <w:rPr>
                <w:rFonts w:hint="eastAsia" w:eastAsiaTheme="minorEastAsia"/>
                <w:sz w:val="22"/>
                <w:szCs w:val="28"/>
                <w:vertAlign w:val="baseline"/>
                <w:lang w:val="en-US" w:eastAsia="zh-CN"/>
              </w:rPr>
            </w:pPr>
            <w:r>
              <w:rPr>
                <w:rFonts w:hint="eastAsia"/>
                <w:sz w:val="22"/>
                <w:szCs w:val="28"/>
                <w:vertAlign w:val="baseline"/>
                <w:lang w:val="en-US" w:eastAsia="zh-CN"/>
              </w:rPr>
              <w:t>-</w:t>
            </w:r>
          </w:p>
        </w:tc>
        <w:tc>
          <w:tcPr>
            <w:tcW w:w="1685" w:type="dxa"/>
            <w:vAlign w:val="center"/>
          </w:tcPr>
          <w:p>
            <w:pPr>
              <w:jc w:val="center"/>
              <w:rPr>
                <w:rFonts w:hint="eastAsia"/>
                <w:sz w:val="22"/>
                <w:szCs w:val="28"/>
                <w:vertAlign w:val="baseline"/>
              </w:rPr>
            </w:pPr>
          </w:p>
        </w:tc>
        <w:tc>
          <w:tcPr>
            <w:tcW w:w="1086"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6.0</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60</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5.0</w:t>
            </w:r>
          </w:p>
        </w:tc>
        <w:tc>
          <w:tcPr>
            <w:tcW w:w="1218" w:type="dxa"/>
            <w:vAlign w:val="center"/>
          </w:tcPr>
          <w:p>
            <w:pPr>
              <w:jc w:val="center"/>
              <w:rPr>
                <w:rFonts w:hint="default" w:eastAsiaTheme="minorEastAsia"/>
                <w:sz w:val="22"/>
                <w:szCs w:val="28"/>
                <w:vertAlign w:val="baseline"/>
                <w:lang w:val="en-US" w:eastAsia="zh-CN"/>
              </w:rPr>
            </w:pPr>
            <w:r>
              <w:rPr>
                <w:rFonts w:hint="eastAsia"/>
                <w:sz w:val="22"/>
                <w:szCs w:val="28"/>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4" w:type="dxa"/>
            <w:gridSpan w:val="7"/>
            <w:vAlign w:val="center"/>
          </w:tcPr>
          <w:p>
            <w:pPr>
              <w:jc w:val="left"/>
              <w:rPr>
                <w:rFonts w:hint="eastAsia"/>
                <w:sz w:val="22"/>
                <w:szCs w:val="28"/>
                <w:vertAlign w:val="baseline"/>
                <w:lang w:val="en-US" w:eastAsia="zh-CN"/>
              </w:rPr>
            </w:pPr>
            <w:r>
              <w:rPr>
                <w:rFonts w:hint="eastAsia"/>
                <w:sz w:val="22"/>
                <w:szCs w:val="28"/>
                <w:vertAlign w:val="baseline"/>
                <w:lang w:val="en-US" w:eastAsia="zh-CN"/>
              </w:rPr>
              <w:t>备注:S指居住用地、商业服务业设施用地的用地面积</w:t>
            </w:r>
          </w:p>
        </w:tc>
      </w:tr>
    </w:tbl>
    <w:p>
      <w:pPr>
        <w:keepNext w:val="0"/>
        <w:keepLines w:val="0"/>
        <w:pageBreakBefore w:val="0"/>
        <w:widowControl w:val="0"/>
        <w:kinsoku/>
        <w:wordWrap/>
        <w:overflowPunct/>
        <w:topLinePunct w:val="0"/>
        <w:autoSpaceDE/>
        <w:autoSpaceDN/>
        <w:bidi w:val="0"/>
        <w:adjustRightInd/>
        <w:snapToGrid/>
        <w:ind w:firstLine="442" w:firstLineChars="200"/>
        <w:jc w:val="both"/>
        <w:textAlignment w:val="auto"/>
        <w:rPr>
          <w:rFonts w:hint="eastAsia"/>
          <w:b/>
          <w:bCs/>
          <w:sz w:val="22"/>
          <w:szCs w:val="28"/>
        </w:rPr>
      </w:pPr>
      <w:r>
        <w:rPr>
          <w:rFonts w:hint="eastAsia"/>
          <w:b/>
          <w:bCs/>
          <w:sz w:val="22"/>
          <w:szCs w:val="28"/>
        </w:rPr>
        <w:t>注:1)表中规定的指标为上限，单个建设项目的建筑容量，应由城乡规划主管部门根据周边环境、交通、地价和配套服务设施等情况进行综合分析后确定。</w:t>
      </w:r>
    </w:p>
    <w:p>
      <w:pPr>
        <w:keepNext w:val="0"/>
        <w:keepLines w:val="0"/>
        <w:pageBreakBefore w:val="0"/>
        <w:widowControl w:val="0"/>
        <w:kinsoku/>
        <w:wordWrap/>
        <w:overflowPunct/>
        <w:topLinePunct w:val="0"/>
        <w:autoSpaceDE/>
        <w:autoSpaceDN/>
        <w:bidi w:val="0"/>
        <w:adjustRightInd/>
        <w:snapToGrid/>
        <w:ind w:firstLine="442" w:firstLineChars="200"/>
        <w:jc w:val="both"/>
        <w:textAlignment w:val="auto"/>
        <w:rPr>
          <w:rFonts w:hint="eastAsia"/>
          <w:b/>
          <w:bCs/>
          <w:sz w:val="22"/>
          <w:szCs w:val="28"/>
        </w:rPr>
      </w:pPr>
      <w:r>
        <w:rPr>
          <w:rFonts w:hint="eastAsia"/>
          <w:b/>
          <w:bCs/>
          <w:sz w:val="22"/>
          <w:szCs w:val="28"/>
        </w:rPr>
        <w:t>2)建设项目包含两个及两个以上不同用地性质地块的，宜分别确定建筑容量指标。</w:t>
      </w:r>
    </w:p>
    <w:p>
      <w:pPr>
        <w:keepNext w:val="0"/>
        <w:keepLines w:val="0"/>
        <w:pageBreakBefore w:val="0"/>
        <w:widowControl w:val="0"/>
        <w:kinsoku/>
        <w:wordWrap/>
        <w:overflowPunct/>
        <w:topLinePunct w:val="0"/>
        <w:autoSpaceDE/>
        <w:autoSpaceDN/>
        <w:bidi w:val="0"/>
        <w:adjustRightInd/>
        <w:snapToGrid/>
        <w:ind w:firstLine="442" w:firstLineChars="200"/>
        <w:jc w:val="both"/>
        <w:textAlignment w:val="auto"/>
        <w:rPr>
          <w:rFonts w:hint="eastAsia"/>
          <w:b/>
          <w:bCs/>
          <w:sz w:val="22"/>
          <w:szCs w:val="28"/>
        </w:rPr>
      </w:pPr>
      <w:r>
        <w:rPr>
          <w:rFonts w:hint="eastAsia"/>
          <w:b/>
          <w:bCs/>
          <w:sz w:val="22"/>
          <w:szCs w:val="28"/>
        </w:rPr>
        <w:t>3)同一地块兼容不同用地性质或建筑层数混杂的建设项目，在符合相关规范的基础上，由城乡规划主管部门根据实际情况参照表4确定建筑容量指标。</w:t>
      </w:r>
    </w:p>
    <w:p>
      <w:pPr>
        <w:keepNext w:val="0"/>
        <w:keepLines w:val="0"/>
        <w:pageBreakBefore w:val="0"/>
        <w:widowControl w:val="0"/>
        <w:kinsoku/>
        <w:wordWrap/>
        <w:overflowPunct/>
        <w:topLinePunct w:val="0"/>
        <w:autoSpaceDE/>
        <w:autoSpaceDN/>
        <w:bidi w:val="0"/>
        <w:adjustRightInd/>
        <w:snapToGrid/>
        <w:ind w:firstLine="442" w:firstLineChars="200"/>
        <w:jc w:val="both"/>
        <w:textAlignment w:val="auto"/>
        <w:rPr>
          <w:rFonts w:hint="eastAsia"/>
          <w:b/>
          <w:bCs/>
          <w:sz w:val="22"/>
          <w:szCs w:val="28"/>
        </w:rPr>
      </w:pPr>
      <w:r>
        <w:rPr>
          <w:rFonts w:hint="eastAsia"/>
          <w:b/>
          <w:bCs/>
          <w:sz w:val="22"/>
          <w:szCs w:val="28"/>
        </w:rPr>
        <w:t>4)城市综合体项目在符合相关规范的基础上，由城乡规划主管部门根据实际情况参照表确定建筑容量指标:或由城乡规划主管部门另行制定城市综合体技术管理规定。</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cs="宋体"/>
          <w:sz w:val="28"/>
          <w:szCs w:val="28"/>
          <w:lang w:val="en-US" w:eastAsia="zh-CN"/>
        </w:rPr>
      </w:pPr>
      <w:r>
        <w:rPr>
          <w:rFonts w:hint="eastAsia" w:cs="宋体"/>
          <w:sz w:val="28"/>
          <w:szCs w:val="28"/>
          <w:lang w:val="en-US" w:eastAsia="zh-CN"/>
        </w:rPr>
        <w:t>建筑密度分析：由于周边地块与道路限制，本地块面积为0.19公顷，若建筑密度过小，地块建设局限性太多，</w:t>
      </w:r>
      <w:r>
        <w:rPr>
          <w:rFonts w:hint="eastAsia" w:cs="宋体"/>
          <w:color w:val="auto"/>
          <w:sz w:val="28"/>
          <w:szCs w:val="28"/>
          <w:lang w:val="en-US" w:eastAsia="zh-CN"/>
        </w:rPr>
        <w:t>参考《运城市规划技术管理规定》与运城市和夏县县城相同的地块，确定本地块的建筑密度为</w:t>
      </w:r>
      <w:r>
        <w:rPr>
          <w:rFonts w:hint="eastAsia" w:cs="宋体"/>
          <w:sz w:val="28"/>
          <w:szCs w:val="28"/>
          <w:lang w:val="en-US" w:eastAsia="zh-CN"/>
        </w:rPr>
        <w:t>不大于50%。</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cs="宋体"/>
          <w:sz w:val="28"/>
          <w:szCs w:val="28"/>
          <w:lang w:val="en-US" w:eastAsia="zh-CN"/>
        </w:rPr>
      </w:pPr>
      <w:r>
        <w:rPr>
          <w:rFonts w:hint="eastAsia" w:cs="宋体"/>
          <w:sz w:val="28"/>
          <w:szCs w:val="28"/>
          <w:lang w:val="en-US" w:eastAsia="zh-CN"/>
        </w:rPr>
        <w:t>其他指标分析：</w:t>
      </w:r>
      <w:r>
        <w:rPr>
          <w:rFonts w:hint="eastAsia" w:cs="宋体"/>
          <w:color w:val="auto"/>
          <w:sz w:val="28"/>
          <w:szCs w:val="28"/>
          <w:lang w:val="en-US" w:eastAsia="zh-CN"/>
        </w:rPr>
        <w:t>参考运城市和夏县县城相同的地块指标确定</w:t>
      </w:r>
      <w:r>
        <w:rPr>
          <w:rFonts w:hint="eastAsia" w:cs="宋体"/>
          <w:sz w:val="28"/>
          <w:szCs w:val="28"/>
          <w:lang w:val="en-US" w:eastAsia="zh-CN"/>
        </w:rPr>
        <w:t>建筑高度不大于50米，绿地率不小于20%，</w:t>
      </w:r>
      <w:r>
        <w:rPr>
          <w:rFonts w:hint="eastAsia" w:cs="宋体"/>
          <w:color w:val="auto"/>
          <w:sz w:val="28"/>
          <w:szCs w:val="28"/>
          <w:lang w:val="en-US" w:eastAsia="zh-CN"/>
        </w:rPr>
        <w:t>符合城市相关要求。</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bookmarkStart w:id="129" w:name="_Toc22584"/>
      <w:r>
        <w:rPr>
          <w:rFonts w:hint="eastAsia" w:cs="宋体"/>
          <w:b/>
          <w:bCs w:val="0"/>
          <w:color w:val="000000"/>
          <w:sz w:val="30"/>
          <w:szCs w:val="30"/>
          <w:lang w:val="en-US" w:eastAsia="zh-CN"/>
        </w:rPr>
        <w:drawing>
          <wp:anchor distT="0" distB="0" distL="114300" distR="114300" simplePos="0" relativeHeight="251662336" behindDoc="1" locked="0" layoutInCell="1" allowOverlap="1">
            <wp:simplePos x="0" y="0"/>
            <wp:positionH relativeFrom="column">
              <wp:posOffset>784860</wp:posOffset>
            </wp:positionH>
            <wp:positionV relativeFrom="paragraph">
              <wp:posOffset>168910</wp:posOffset>
            </wp:positionV>
            <wp:extent cx="3980180" cy="2616835"/>
            <wp:effectExtent l="9525" t="9525" r="10795" b="21590"/>
            <wp:wrapNone/>
            <wp:docPr id="5" name="图片 5" descr="423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234242"/>
                    <pic:cNvPicPr>
                      <a:picLocks noChangeAspect="1"/>
                    </pic:cNvPicPr>
                  </pic:nvPicPr>
                  <pic:blipFill>
                    <a:blip r:embed="rId24"/>
                    <a:srcRect l="7194" t="15898" r="16096" b="12785"/>
                    <a:stretch>
                      <a:fillRect/>
                    </a:stretch>
                  </pic:blipFill>
                  <pic:spPr>
                    <a:xfrm>
                      <a:off x="0" y="0"/>
                      <a:ext cx="3980180" cy="2616835"/>
                    </a:xfrm>
                    <a:prstGeom prst="rect">
                      <a:avLst/>
                    </a:prstGeom>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center"/>
        <w:textAlignment w:val="auto"/>
        <w:outlineLvl w:val="1"/>
        <w:rPr>
          <w:rFonts w:hint="eastAsia" w:cs="宋体"/>
          <w:b/>
          <w:bCs w:val="0"/>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center"/>
        <w:textAlignment w:val="auto"/>
        <w:outlineLvl w:val="1"/>
        <w:rPr>
          <w:rFonts w:hint="eastAsia" w:cs="宋体"/>
          <w:b/>
          <w:bCs w:val="0"/>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center"/>
        <w:textAlignment w:val="auto"/>
        <w:outlineLvl w:val="9"/>
        <w:rPr>
          <w:rFonts w:hint="eastAsia" w:cs="宋体"/>
          <w:b/>
          <w:bCs w:val="0"/>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center"/>
        <w:textAlignment w:val="auto"/>
        <w:outlineLvl w:val="9"/>
        <w:rPr>
          <w:rFonts w:hint="default" w:cs="宋体"/>
          <w:b/>
          <w:bCs w:val="0"/>
          <w:color w:val="000000"/>
          <w:sz w:val="24"/>
          <w:szCs w:val="24"/>
          <w:lang w:val="en-US" w:eastAsia="zh-CN"/>
        </w:rPr>
      </w:pPr>
      <w:r>
        <w:rPr>
          <w:rFonts w:hint="eastAsia" w:cs="宋体"/>
          <w:b/>
          <w:bCs w:val="0"/>
          <w:color w:val="000000"/>
          <w:sz w:val="24"/>
          <w:szCs w:val="24"/>
          <w:lang w:val="en-US" w:eastAsia="zh-CN"/>
        </w:rPr>
        <w:t>地块平面布置示意图</w:t>
      </w:r>
    </w:p>
    <w:p>
      <w:pPr>
        <w:rPr>
          <w:rFonts w:hint="eastAsia" w:cs="宋体"/>
          <w:b/>
          <w:bCs w:val="0"/>
          <w:color w:val="000000"/>
          <w:sz w:val="24"/>
          <w:szCs w:val="24"/>
          <w:lang w:val="en-US" w:eastAsia="zh-CN"/>
        </w:rPr>
      </w:pPr>
      <w:r>
        <w:rPr>
          <w:rFonts w:hint="eastAsia" w:cs="宋体"/>
          <w:b/>
          <w:bCs w:val="0"/>
          <w:color w:val="000000"/>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outlineLvl w:val="9"/>
        <w:rPr>
          <w:rFonts w:hint="eastAsia" w:cs="宋体"/>
          <w:b/>
          <w:bCs w:val="0"/>
          <w:color w:val="000000"/>
          <w:sz w:val="24"/>
          <w:szCs w:val="24"/>
          <w:lang w:val="en-US" w:eastAsia="zh-CN"/>
        </w:rPr>
      </w:pPr>
      <w:r>
        <w:rPr>
          <w:rFonts w:hint="eastAsia" w:cs="宋体"/>
          <w:b/>
          <w:bCs w:val="0"/>
          <w:color w:val="000000"/>
          <w:sz w:val="24"/>
          <w:szCs w:val="24"/>
          <w:lang w:val="en-US" w:eastAsia="zh-CN"/>
        </w:rPr>
        <w:t>平面示意图与规划论证指标对比一览表</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8"/>
        <w:gridCol w:w="2119"/>
        <w:gridCol w:w="736"/>
        <w:gridCol w:w="1421"/>
        <w:gridCol w:w="1706"/>
        <w:gridCol w:w="1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63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序号</w:t>
            </w:r>
          </w:p>
        </w:tc>
        <w:tc>
          <w:tcPr>
            <w:tcW w:w="21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210" w:firstLineChars="100"/>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指标</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单位</w:t>
            </w:r>
          </w:p>
        </w:tc>
        <w:tc>
          <w:tcPr>
            <w:tcW w:w="142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210" w:firstLineChars="100"/>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数值</w:t>
            </w:r>
          </w:p>
        </w:tc>
        <w:tc>
          <w:tcPr>
            <w:tcW w:w="170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规划论证指标</w:t>
            </w: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210" w:firstLineChars="10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63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1</w:t>
            </w:r>
          </w:p>
        </w:tc>
        <w:tc>
          <w:tcPr>
            <w:tcW w:w="21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总用地面积</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公顷</w:t>
            </w:r>
          </w:p>
        </w:tc>
        <w:tc>
          <w:tcPr>
            <w:tcW w:w="142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0.1920</w:t>
            </w:r>
          </w:p>
        </w:tc>
        <w:tc>
          <w:tcPr>
            <w:tcW w:w="170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0.1920</w:t>
            </w: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微软雅黑" w:hAnsi="微软雅黑" w:eastAsia="微软雅黑" w:cs="微软雅黑"/>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w:t>
            </w:r>
          </w:p>
        </w:tc>
        <w:tc>
          <w:tcPr>
            <w:tcW w:w="211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用地性质</w:t>
            </w:r>
          </w:p>
        </w:tc>
        <w:tc>
          <w:tcPr>
            <w:tcW w:w="5000" w:type="dxa"/>
            <w:gridSpan w:val="4"/>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零售商业用地（090101）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rPr>
              <w:t>3</w:t>
            </w:r>
          </w:p>
        </w:tc>
        <w:tc>
          <w:tcPr>
            <w:tcW w:w="211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建筑面积</w:t>
            </w:r>
          </w:p>
        </w:tc>
        <w:tc>
          <w:tcPr>
            <w:tcW w:w="73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m</w:t>
            </w:r>
            <w:r>
              <w:rPr>
                <w:rFonts w:hint="eastAsia" w:ascii="微软雅黑" w:hAnsi="微软雅黑" w:eastAsia="微软雅黑" w:cs="微软雅黑"/>
                <w:kern w:val="0"/>
                <w:sz w:val="21"/>
                <w:szCs w:val="21"/>
                <w:vertAlign w:val="superscript"/>
                <w:lang w:val="en-US" w:eastAsia="zh-CN"/>
              </w:rPr>
              <w:t>2</w:t>
            </w:r>
          </w:p>
        </w:tc>
        <w:tc>
          <w:tcPr>
            <w:tcW w:w="142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7480</w:t>
            </w:r>
          </w:p>
        </w:tc>
        <w:tc>
          <w:tcPr>
            <w:tcW w:w="170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≤7488</w:t>
            </w:r>
          </w:p>
        </w:tc>
        <w:tc>
          <w:tcPr>
            <w:tcW w:w="113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微软雅黑" w:hAnsi="微软雅黑" w:eastAsia="微软雅黑" w:cs="微软雅黑"/>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rPr>
              <w:t>4</w:t>
            </w:r>
          </w:p>
        </w:tc>
        <w:tc>
          <w:tcPr>
            <w:tcW w:w="21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建筑基地面积</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m</w:t>
            </w:r>
            <w:r>
              <w:rPr>
                <w:rFonts w:hint="eastAsia" w:ascii="微软雅黑" w:hAnsi="微软雅黑" w:eastAsia="微软雅黑" w:cs="微软雅黑"/>
                <w:kern w:val="0"/>
                <w:sz w:val="21"/>
                <w:szCs w:val="21"/>
                <w:vertAlign w:val="superscript"/>
                <w:lang w:val="en-US" w:eastAsia="zh-CN"/>
              </w:rPr>
              <w:t>2</w:t>
            </w:r>
          </w:p>
        </w:tc>
        <w:tc>
          <w:tcPr>
            <w:tcW w:w="142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947.33</w:t>
            </w:r>
          </w:p>
        </w:tc>
        <w:tc>
          <w:tcPr>
            <w:tcW w:w="170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≤1056</w:t>
            </w: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highlight w:val="yellow"/>
                <w:lang w:val="en-US" w:eastAsia="zh-CN" w:bidi="ar-SA"/>
              </w:rPr>
            </w:pPr>
            <w:r>
              <w:rPr>
                <w:rFonts w:hint="eastAsia" w:ascii="微软雅黑" w:hAnsi="微软雅黑" w:eastAsia="微软雅黑" w:cs="微软雅黑"/>
                <w:kern w:val="0"/>
                <w:sz w:val="21"/>
                <w:szCs w:val="21"/>
                <w:highlight w:val="none"/>
                <w:lang w:val="en-US" w:eastAsia="zh-CN"/>
              </w:rPr>
              <w:t>5</w:t>
            </w:r>
          </w:p>
        </w:tc>
        <w:tc>
          <w:tcPr>
            <w:tcW w:w="21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容积率</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rPr>
            </w:pPr>
          </w:p>
        </w:tc>
        <w:tc>
          <w:tcPr>
            <w:tcW w:w="142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3.896</w:t>
            </w:r>
          </w:p>
        </w:tc>
        <w:tc>
          <w:tcPr>
            <w:tcW w:w="170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≤3.9</w:t>
            </w: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rPr>
              <w:t>6</w:t>
            </w:r>
          </w:p>
        </w:tc>
        <w:tc>
          <w:tcPr>
            <w:tcW w:w="21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highlight w:val="none"/>
              </w:rPr>
              <w:t>建筑密度</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highlight w:val="none"/>
                <w:lang w:val="en-US" w:eastAsia="zh-CN"/>
              </w:rPr>
            </w:pPr>
            <w:r>
              <w:rPr>
                <w:rFonts w:hint="eastAsia" w:ascii="微软雅黑" w:hAnsi="微软雅黑" w:eastAsia="微软雅黑" w:cs="微软雅黑"/>
                <w:kern w:val="0"/>
                <w:sz w:val="21"/>
                <w:szCs w:val="21"/>
                <w:highlight w:val="none"/>
                <w:lang w:val="en-US" w:eastAsia="zh-CN"/>
              </w:rPr>
              <w:t>%</w:t>
            </w:r>
          </w:p>
        </w:tc>
        <w:tc>
          <w:tcPr>
            <w:tcW w:w="142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49.3</w:t>
            </w:r>
          </w:p>
        </w:tc>
        <w:tc>
          <w:tcPr>
            <w:tcW w:w="170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≤50</w:t>
            </w: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highlight w:val="yellow"/>
                <w:lang w:val="en-US" w:eastAsia="zh-CN" w:bidi="ar-SA"/>
              </w:rPr>
            </w:pPr>
            <w:r>
              <w:rPr>
                <w:rFonts w:hint="eastAsia" w:ascii="微软雅黑" w:hAnsi="微软雅黑" w:eastAsia="微软雅黑" w:cs="微软雅黑"/>
                <w:kern w:val="0"/>
                <w:sz w:val="21"/>
                <w:szCs w:val="21"/>
                <w:lang w:val="en-US" w:eastAsia="zh-CN"/>
              </w:rPr>
              <w:t>7</w:t>
            </w:r>
          </w:p>
        </w:tc>
        <w:tc>
          <w:tcPr>
            <w:tcW w:w="21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绿化面积</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m</w:t>
            </w:r>
            <w:r>
              <w:rPr>
                <w:rFonts w:hint="eastAsia" w:ascii="微软雅黑" w:hAnsi="微软雅黑" w:eastAsia="微软雅黑" w:cs="微软雅黑"/>
                <w:kern w:val="0"/>
                <w:sz w:val="21"/>
                <w:szCs w:val="21"/>
                <w:vertAlign w:val="superscript"/>
                <w:lang w:val="en-US" w:eastAsia="zh-CN"/>
              </w:rPr>
              <w:t>2</w:t>
            </w:r>
          </w:p>
        </w:tc>
        <w:tc>
          <w:tcPr>
            <w:tcW w:w="142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388</w:t>
            </w:r>
          </w:p>
        </w:tc>
        <w:tc>
          <w:tcPr>
            <w:tcW w:w="170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≥384</w:t>
            </w: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8</w:t>
            </w:r>
          </w:p>
        </w:tc>
        <w:tc>
          <w:tcPr>
            <w:tcW w:w="21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绿地率</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42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20</w:t>
            </w:r>
          </w:p>
        </w:tc>
        <w:tc>
          <w:tcPr>
            <w:tcW w:w="170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≥20</w:t>
            </w: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满足</w:t>
            </w:r>
          </w:p>
        </w:tc>
      </w:tr>
    </w:tbl>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bookmarkStart w:id="130" w:name="_Toc18718"/>
      <w:r>
        <w:rPr>
          <w:rFonts w:hint="eastAsia" w:cs="宋体"/>
          <w:b/>
          <w:bCs w:val="0"/>
          <w:color w:val="000000"/>
          <w:sz w:val="30"/>
          <w:szCs w:val="30"/>
          <w:lang w:val="en-US" w:eastAsia="zh-CN"/>
        </w:rPr>
        <w:t>三、对周边用地的影响分析</w:t>
      </w:r>
      <w:bookmarkEnd w:id="128"/>
      <w:bookmarkEnd w:id="129"/>
      <w:bookmarkEnd w:id="130"/>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cs="宋体"/>
          <w:sz w:val="28"/>
          <w:szCs w:val="28"/>
        </w:rPr>
      </w:pPr>
      <w:r>
        <w:rPr>
          <w:rFonts w:hint="eastAsia" w:cs="宋体"/>
          <w:sz w:val="28"/>
          <w:szCs w:val="28"/>
          <w:lang w:val="en-US" w:eastAsia="zh-CN"/>
        </w:rPr>
        <w:t>由于地块西侧南侧均无居民住宅、学校、养老院等建筑，</w:t>
      </w:r>
      <w:r>
        <w:rPr>
          <w:rFonts w:hint="eastAsia" w:ascii="宋体" w:hAnsi="宋体" w:cs="宋体"/>
          <w:sz w:val="28"/>
          <w:szCs w:val="28"/>
        </w:rPr>
        <w:t>项目地块规划条件调整后，不会对其周边地块带来诸如日照、通风要素的干扰，也无地质灾害等其他建设性干扰和破坏因素。</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cs="宋体"/>
          <w:b/>
          <w:bCs w:val="0"/>
          <w:color w:val="000000"/>
          <w:sz w:val="30"/>
          <w:szCs w:val="30"/>
          <w:lang w:val="en-US" w:eastAsia="zh-CN"/>
        </w:rPr>
      </w:pPr>
      <w:bookmarkStart w:id="131" w:name="_Toc8324"/>
      <w:bookmarkStart w:id="132" w:name="_Toc9449"/>
      <w:bookmarkStart w:id="133" w:name="_Toc1610"/>
      <w:r>
        <w:rPr>
          <w:rFonts w:hint="eastAsia" w:cs="宋体"/>
          <w:b/>
          <w:bCs w:val="0"/>
          <w:color w:val="000000"/>
          <w:sz w:val="30"/>
          <w:szCs w:val="30"/>
          <w:lang w:val="en-US" w:eastAsia="zh-CN"/>
        </w:rPr>
        <w:t>四、</w:t>
      </w:r>
      <w:bookmarkEnd w:id="131"/>
      <w:bookmarkEnd w:id="132"/>
      <w:r>
        <w:rPr>
          <w:rFonts w:hint="eastAsia" w:cs="宋体"/>
          <w:b/>
          <w:bCs w:val="0"/>
          <w:color w:val="000000"/>
          <w:sz w:val="30"/>
          <w:szCs w:val="30"/>
          <w:lang w:val="en-US" w:eastAsia="zh-CN"/>
        </w:rPr>
        <w:t>对居民的影响分析</w:t>
      </w:r>
      <w:bookmarkEnd w:id="133"/>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调整后，将增加周边居民休闲娱乐的场所，有利于完善夏县县城的商业设施，提升城市形象和周边居民的生活质量。</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outlineLvl w:val="1"/>
        <w:rPr>
          <w:rFonts w:hint="default" w:ascii="宋体" w:hAnsi="宋体" w:eastAsia="宋体" w:cs="宋体"/>
          <w:b/>
          <w:bCs w:val="0"/>
          <w:color w:val="000000"/>
          <w:sz w:val="28"/>
          <w:szCs w:val="28"/>
          <w:lang w:val="en-US" w:eastAsia="zh-CN"/>
        </w:rPr>
      </w:pPr>
      <w:bookmarkStart w:id="134" w:name="_Toc22411"/>
      <w:bookmarkStart w:id="135" w:name="_Toc4327"/>
      <w:r>
        <w:rPr>
          <w:rFonts w:hint="eastAsia" w:cs="宋体"/>
          <w:b/>
          <w:bCs w:val="0"/>
          <w:color w:val="000000"/>
          <w:sz w:val="28"/>
          <w:szCs w:val="28"/>
          <w:lang w:val="en-US" w:eastAsia="zh-CN"/>
        </w:rPr>
        <w:t>五</w:t>
      </w:r>
      <w:r>
        <w:rPr>
          <w:rFonts w:hint="eastAsia" w:ascii="宋体" w:hAnsi="宋体" w:eastAsia="宋体" w:cs="宋体"/>
          <w:b/>
          <w:bCs w:val="0"/>
          <w:color w:val="000000"/>
          <w:sz w:val="28"/>
          <w:szCs w:val="28"/>
          <w:lang w:val="en-US" w:eastAsia="zh-CN"/>
        </w:rPr>
        <w:t>、公共服务设施</w:t>
      </w:r>
      <w:r>
        <w:rPr>
          <w:rFonts w:hint="eastAsia" w:cs="宋体"/>
          <w:b/>
          <w:bCs w:val="0"/>
          <w:color w:val="000000"/>
          <w:sz w:val="28"/>
          <w:szCs w:val="28"/>
          <w:lang w:val="en-US" w:eastAsia="zh-CN"/>
        </w:rPr>
        <w:t>及基础设施</w:t>
      </w:r>
      <w:r>
        <w:rPr>
          <w:rFonts w:hint="eastAsia" w:ascii="宋体" w:hAnsi="宋体" w:eastAsia="宋体" w:cs="宋体"/>
          <w:b/>
          <w:bCs w:val="0"/>
          <w:color w:val="000000"/>
          <w:sz w:val="28"/>
          <w:szCs w:val="28"/>
          <w:lang w:val="en-US" w:eastAsia="zh-CN"/>
        </w:rPr>
        <w:t>影响</w:t>
      </w:r>
      <w:r>
        <w:rPr>
          <w:rFonts w:hint="eastAsia" w:cs="宋体"/>
          <w:b/>
          <w:bCs w:val="0"/>
          <w:color w:val="000000"/>
          <w:sz w:val="28"/>
          <w:szCs w:val="28"/>
          <w:lang w:val="en-US" w:eastAsia="zh-CN"/>
        </w:rPr>
        <w:t>分析</w:t>
      </w:r>
      <w:bookmarkEnd w:id="134"/>
      <w:bookmarkEnd w:id="135"/>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规划条件调整后，建筑容量增加，对应配套设施的需求量也增加，地块为商业用地，自身商业设施配建完善，其他公共服务设施配套以及各市政管道设施埋设在前期建设已经配置齐全，给水、排水、电力、电信等管道及容量都可以满足该地块的要求。</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宋体" w:hAnsi="宋体"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因此，地块对周边公用配套设施无任何不良影响，调整该地块的规划设计条件可行。</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outlineLvl w:val="1"/>
        <w:rPr>
          <w:rFonts w:hint="default" w:ascii="宋体" w:hAnsi="宋体" w:eastAsia="宋体" w:cs="宋体"/>
          <w:b/>
          <w:bCs w:val="0"/>
          <w:color w:val="000000"/>
          <w:sz w:val="28"/>
          <w:szCs w:val="28"/>
          <w:lang w:val="en-US" w:eastAsia="zh-CN"/>
        </w:rPr>
      </w:pPr>
      <w:bookmarkStart w:id="136" w:name="_Toc21076"/>
      <w:bookmarkStart w:id="137" w:name="_Toc12903"/>
      <w:r>
        <w:rPr>
          <w:rFonts w:hint="eastAsia" w:cs="宋体"/>
          <w:b/>
          <w:bCs w:val="0"/>
          <w:color w:val="000000"/>
          <w:sz w:val="28"/>
          <w:szCs w:val="28"/>
          <w:lang w:val="en-US" w:eastAsia="zh-CN"/>
        </w:rPr>
        <w:t>六</w:t>
      </w:r>
      <w:r>
        <w:rPr>
          <w:rFonts w:hint="eastAsia" w:ascii="宋体" w:hAnsi="宋体" w:eastAsia="宋体" w:cs="宋体"/>
          <w:b/>
          <w:bCs w:val="0"/>
          <w:color w:val="000000"/>
          <w:sz w:val="28"/>
          <w:szCs w:val="28"/>
          <w:lang w:val="en-US" w:eastAsia="zh-CN"/>
        </w:rPr>
        <w:t>、道路交通影响</w:t>
      </w:r>
      <w:r>
        <w:rPr>
          <w:rFonts w:hint="eastAsia" w:cs="宋体"/>
          <w:b/>
          <w:bCs w:val="0"/>
          <w:color w:val="000000"/>
          <w:sz w:val="28"/>
          <w:szCs w:val="28"/>
          <w:lang w:val="en-US" w:eastAsia="zh-CN"/>
        </w:rPr>
        <w:t>分析</w:t>
      </w:r>
      <w:bookmarkEnd w:id="136"/>
      <w:bookmarkEnd w:id="137"/>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本次调整不涉及地块周边的道路。项目调整后，商业用地的增加会增加人员流动，对周边道路造成一定压力。</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规划要求项目内部配置停车场，同时对新建北路增加交通警示和管制，减少对周边交通的影响。</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left"/>
        <w:textAlignment w:val="auto"/>
        <w:outlineLvl w:val="1"/>
        <w:rPr>
          <w:rFonts w:hint="eastAsia" w:cs="宋体"/>
          <w:b/>
          <w:bCs w:val="0"/>
          <w:color w:val="000000"/>
          <w:sz w:val="28"/>
          <w:szCs w:val="28"/>
          <w:lang w:val="en-US" w:eastAsia="zh-CN"/>
        </w:rPr>
      </w:pPr>
      <w:bookmarkStart w:id="138" w:name="_Toc14873"/>
      <w:bookmarkStart w:id="139" w:name="_Toc19198"/>
      <w:bookmarkStart w:id="140" w:name="_Toc28753"/>
      <w:bookmarkStart w:id="141" w:name="_Toc15141"/>
      <w:r>
        <w:rPr>
          <w:rFonts w:hint="eastAsia" w:cs="宋体"/>
          <w:b/>
          <w:bCs w:val="0"/>
          <w:color w:val="000000"/>
          <w:sz w:val="28"/>
          <w:szCs w:val="28"/>
          <w:lang w:val="en-US" w:eastAsia="zh-CN"/>
        </w:rPr>
        <w:t>七、城市设计及景观影响</w:t>
      </w:r>
      <w:bookmarkEnd w:id="138"/>
      <w:r>
        <w:rPr>
          <w:rFonts w:hint="eastAsia" w:cs="宋体"/>
          <w:b/>
          <w:bCs w:val="0"/>
          <w:color w:val="000000"/>
          <w:sz w:val="28"/>
          <w:szCs w:val="28"/>
          <w:lang w:val="en-US" w:eastAsia="zh-CN"/>
        </w:rPr>
        <w:t>分析</w:t>
      </w:r>
      <w:bookmarkEnd w:id="139"/>
      <w:bookmarkEnd w:id="140"/>
      <w:bookmarkEnd w:id="141"/>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ascii="宋体" w:hAnsi="宋体" w:cs="宋体"/>
          <w:bCs/>
          <w:color w:val="000000"/>
          <w:spacing w:val="10"/>
          <w:sz w:val="28"/>
          <w:szCs w:val="28"/>
          <w:highlight w:val="none"/>
          <w:lang w:val="en-US" w:eastAsia="zh-CN"/>
        </w:rPr>
        <w:t>项目用地</w:t>
      </w:r>
      <w:r>
        <w:rPr>
          <w:rFonts w:hint="eastAsia" w:cs="宋体"/>
          <w:bCs/>
          <w:color w:val="000000"/>
          <w:spacing w:val="10"/>
          <w:sz w:val="28"/>
          <w:szCs w:val="28"/>
          <w:highlight w:val="none"/>
          <w:lang w:val="en-US" w:eastAsia="zh-CN"/>
        </w:rPr>
        <w:t>周边现状为小区、学校、公园、政府部门等</w:t>
      </w:r>
      <w:r>
        <w:rPr>
          <w:rFonts w:hint="eastAsia" w:ascii="宋体" w:hAnsi="宋体" w:cs="宋体"/>
          <w:bCs/>
          <w:color w:val="000000"/>
          <w:spacing w:val="10"/>
          <w:sz w:val="28"/>
          <w:szCs w:val="28"/>
          <w:highlight w:val="none"/>
          <w:lang w:val="en-US" w:eastAsia="zh-CN"/>
        </w:rPr>
        <w:t>，</w:t>
      </w:r>
      <w:r>
        <w:rPr>
          <w:rFonts w:hint="eastAsia" w:cs="宋体"/>
          <w:bCs/>
          <w:color w:val="000000"/>
          <w:spacing w:val="10"/>
          <w:sz w:val="28"/>
          <w:szCs w:val="28"/>
          <w:highlight w:val="none"/>
          <w:lang w:val="en-US" w:eastAsia="zh-CN"/>
        </w:rPr>
        <w:t>项目地块及其周边正处于蓬勃的更新发展中，周边商业氛围浓郁，项目地块规划条件调整后，有利于形成该片区商业快速发展，促进片区空间格局的形成，从而形成风格协调、景观良好的景观结构，从区域整体环境考虑，为提高城市品位增加了城市骨架的重要识别点和空间定位的重要参照点，从而塑造了多样的城市景观环境。</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eastAsia" w:ascii="宋体" w:hAnsi="宋体" w:eastAsia="宋体" w:cs="宋体"/>
          <w:b/>
          <w:bCs w:val="0"/>
          <w:color w:val="000000"/>
          <w:sz w:val="32"/>
          <w:szCs w:val="32"/>
          <w:lang w:val="en-US" w:eastAsia="zh-CN"/>
        </w:rPr>
      </w:pPr>
      <w:bookmarkStart w:id="142" w:name="_Toc13425898"/>
      <w:bookmarkStart w:id="143" w:name="_Toc3105"/>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0"/>
        <w:rPr>
          <w:rFonts w:hint="default" w:ascii="宋体" w:hAnsi="宋体" w:eastAsia="宋体" w:cs="宋体"/>
          <w:b/>
          <w:bCs w:val="0"/>
          <w:color w:val="000000"/>
          <w:sz w:val="32"/>
          <w:szCs w:val="32"/>
          <w:lang w:val="en-US" w:eastAsia="zh-CN"/>
        </w:rPr>
      </w:pPr>
      <w:bookmarkStart w:id="144" w:name="_Toc1385"/>
      <w:r>
        <w:rPr>
          <w:rFonts w:hint="eastAsia" w:ascii="宋体" w:hAnsi="宋体" w:eastAsia="宋体" w:cs="宋体"/>
          <w:b/>
          <w:bCs w:val="0"/>
          <w:color w:val="000000"/>
          <w:sz w:val="32"/>
          <w:szCs w:val="32"/>
          <w:lang w:val="en-US" w:eastAsia="zh-CN"/>
        </w:rPr>
        <w:t>第</w:t>
      </w:r>
      <w:r>
        <w:rPr>
          <w:rFonts w:hint="eastAsia" w:cs="宋体"/>
          <w:b/>
          <w:bCs w:val="0"/>
          <w:color w:val="000000"/>
          <w:sz w:val="32"/>
          <w:szCs w:val="32"/>
          <w:lang w:val="en-US" w:eastAsia="zh-CN"/>
        </w:rPr>
        <w:t>七</w:t>
      </w:r>
      <w:r>
        <w:rPr>
          <w:rFonts w:hint="eastAsia" w:ascii="宋体" w:hAnsi="宋体" w:eastAsia="宋体" w:cs="宋体"/>
          <w:b/>
          <w:bCs w:val="0"/>
          <w:color w:val="000000"/>
          <w:sz w:val="32"/>
          <w:szCs w:val="32"/>
          <w:lang w:val="en-US" w:eastAsia="zh-CN"/>
        </w:rPr>
        <w:t>章  结论</w:t>
      </w:r>
      <w:bookmarkEnd w:id="142"/>
      <w:r>
        <w:rPr>
          <w:rFonts w:hint="eastAsia" w:cs="宋体"/>
          <w:b/>
          <w:bCs w:val="0"/>
          <w:color w:val="000000"/>
          <w:sz w:val="32"/>
          <w:szCs w:val="32"/>
          <w:lang w:val="en-US" w:eastAsia="zh-CN"/>
        </w:rPr>
        <w:t>及建议</w:t>
      </w:r>
      <w:bookmarkEnd w:id="143"/>
      <w:bookmarkEnd w:id="144"/>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ascii="宋体" w:hAnsi="宋体" w:eastAsia="宋体" w:cs="宋体"/>
          <w:b/>
          <w:bCs w:val="0"/>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ascii="宋体" w:hAnsi="宋体" w:eastAsia="宋体" w:cs="宋体"/>
          <w:b/>
          <w:bCs w:val="0"/>
          <w:color w:val="000000"/>
          <w:sz w:val="30"/>
          <w:szCs w:val="30"/>
          <w:lang w:val="en-US" w:eastAsia="zh-CN"/>
        </w:rPr>
      </w:pPr>
      <w:bookmarkStart w:id="145" w:name="_Toc24965"/>
      <w:bookmarkStart w:id="146" w:name="_Toc10200"/>
      <w:r>
        <w:rPr>
          <w:rFonts w:hint="eastAsia" w:ascii="宋体" w:hAnsi="宋体" w:eastAsia="宋体" w:cs="宋体"/>
          <w:b/>
          <w:bCs w:val="0"/>
          <w:color w:val="000000"/>
          <w:sz w:val="30"/>
          <w:szCs w:val="30"/>
          <w:lang w:val="en-US" w:eastAsia="zh-CN"/>
        </w:rPr>
        <w:t>一、论证结论</w:t>
      </w:r>
      <w:bookmarkEnd w:id="145"/>
      <w:bookmarkEnd w:id="146"/>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为了确保项目的顺利开发，本着高度社会责任感，根据《中华人民共和国城乡规划法》、《中华人民共和国土地管理法》、《建设用地容积率管理办法》（建规【2012】22号）以及《城市居住区规划设计标准》（GB50180-2018）等法律、法规及文件的有关规定，对规划条件调整的论证。</w:t>
      </w:r>
      <w:bookmarkStart w:id="147" w:name="_Toc13425900"/>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规划调整后建筑密度、绿地率、建筑限高符合夏县相关规划及国家相关规范、技术准则等要求，对城市公共服务设施、城市绿地系统及周边空间环境景观没有造成不良影响，相反极大提升了区域的居民生活质量，有利于城市规划管理。</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cs="宋体"/>
          <w:bCs/>
          <w:color w:val="000000"/>
          <w:spacing w:val="10"/>
          <w:sz w:val="28"/>
          <w:szCs w:val="28"/>
          <w:highlight w:val="none"/>
          <w:lang w:val="en-US" w:eastAsia="zh-CN"/>
        </w:rPr>
      </w:pPr>
      <w:r>
        <w:rPr>
          <w:rFonts w:hint="eastAsia" w:cs="宋体"/>
          <w:bCs/>
          <w:color w:val="000000"/>
          <w:spacing w:val="10"/>
          <w:sz w:val="28"/>
          <w:szCs w:val="28"/>
          <w:highlight w:val="none"/>
          <w:lang w:val="en-US" w:eastAsia="zh-CN"/>
        </w:rPr>
        <w:t>综上所述，本规划调整基本可行。</w:t>
      </w:r>
    </w:p>
    <w:p>
      <w:pPr>
        <w:pageBreakBefore w:val="0"/>
        <w:widowControl w:val="0"/>
        <w:kinsoku/>
        <w:wordWrap/>
        <w:overflowPunct/>
        <w:topLinePunct w:val="0"/>
        <w:autoSpaceDE/>
        <w:autoSpaceDN/>
        <w:bidi w:val="0"/>
        <w:adjustRightInd/>
        <w:snapToGrid/>
        <w:spacing w:line="540" w:lineRule="exact"/>
        <w:ind w:firstLine="602" w:firstLineChars="200"/>
        <w:jc w:val="left"/>
        <w:textAlignment w:val="auto"/>
        <w:outlineLvl w:val="1"/>
        <w:rPr>
          <w:rFonts w:hint="eastAsia" w:ascii="宋体" w:hAnsi="宋体" w:eastAsia="宋体" w:cs="宋体"/>
          <w:b/>
          <w:bCs w:val="0"/>
          <w:color w:val="000000"/>
          <w:sz w:val="30"/>
          <w:szCs w:val="30"/>
          <w:lang w:val="en-US" w:eastAsia="zh-CN"/>
        </w:rPr>
      </w:pPr>
      <w:bookmarkStart w:id="148" w:name="_Toc28869"/>
      <w:bookmarkStart w:id="149" w:name="_Toc2144"/>
      <w:r>
        <w:rPr>
          <w:rFonts w:hint="eastAsia" w:ascii="宋体" w:hAnsi="宋体" w:eastAsia="宋体" w:cs="宋体"/>
          <w:b/>
          <w:bCs w:val="0"/>
          <w:color w:val="000000"/>
          <w:sz w:val="30"/>
          <w:szCs w:val="30"/>
          <w:lang w:val="en-US" w:eastAsia="zh-CN"/>
        </w:rPr>
        <w:t>二、建议及要求</w:t>
      </w:r>
      <w:bookmarkEnd w:id="147"/>
      <w:bookmarkEnd w:id="148"/>
      <w:bookmarkEnd w:id="149"/>
    </w:p>
    <w:p>
      <w:pPr>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ascii="宋体" w:hAnsi="宋体" w:cs="宋体"/>
          <w:bCs/>
          <w:color w:val="000000"/>
          <w:spacing w:val="10"/>
          <w:sz w:val="28"/>
          <w:szCs w:val="28"/>
          <w:highlight w:val="none"/>
          <w:lang w:val="en-US" w:eastAsia="zh-CN"/>
        </w:rPr>
        <w:t>1、项目地块用地性质调整后，项目建设单位应按照相关法律法规及政策要求，按程序完成项目相关手续。</w:t>
      </w:r>
    </w:p>
    <w:p>
      <w:pPr>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宋体" w:hAnsi="宋体" w:cs="宋体"/>
          <w:bCs/>
          <w:color w:val="000000"/>
          <w:spacing w:val="10"/>
          <w:sz w:val="28"/>
          <w:szCs w:val="28"/>
          <w:highlight w:val="none"/>
          <w:lang w:val="en-US" w:eastAsia="zh-CN"/>
        </w:rPr>
      </w:pPr>
      <w:r>
        <w:rPr>
          <w:rFonts w:hint="eastAsia" w:ascii="宋体" w:hAnsi="宋体" w:cs="宋体"/>
          <w:bCs/>
          <w:color w:val="000000"/>
          <w:spacing w:val="10"/>
          <w:sz w:val="28"/>
          <w:szCs w:val="28"/>
          <w:highlight w:val="none"/>
          <w:lang w:val="en-US" w:eastAsia="zh-CN"/>
        </w:rPr>
        <w:t>2、地块的规划调整情况</w:t>
      </w:r>
      <w:r>
        <w:rPr>
          <w:rFonts w:hint="eastAsia" w:cs="宋体"/>
          <w:bCs/>
          <w:color w:val="000000"/>
          <w:spacing w:val="10"/>
          <w:sz w:val="28"/>
          <w:szCs w:val="28"/>
          <w:highlight w:val="none"/>
          <w:lang w:val="en-US" w:eastAsia="zh-CN"/>
        </w:rPr>
        <w:t>建议</w:t>
      </w:r>
      <w:r>
        <w:rPr>
          <w:rFonts w:hint="eastAsia" w:ascii="宋体" w:hAnsi="宋体" w:cs="宋体"/>
          <w:bCs/>
          <w:color w:val="000000"/>
          <w:spacing w:val="10"/>
          <w:sz w:val="28"/>
          <w:szCs w:val="28"/>
          <w:highlight w:val="none"/>
          <w:lang w:val="en-US" w:eastAsia="zh-CN"/>
        </w:rPr>
        <w:t>纳入《</w:t>
      </w:r>
      <w:r>
        <w:rPr>
          <w:rFonts w:hint="eastAsia" w:cs="宋体"/>
          <w:bCs/>
          <w:color w:val="000000"/>
          <w:spacing w:val="10"/>
          <w:sz w:val="28"/>
          <w:szCs w:val="28"/>
          <w:highlight w:val="none"/>
          <w:lang w:val="en-US" w:eastAsia="zh-CN"/>
        </w:rPr>
        <w:t>夏县</w:t>
      </w:r>
      <w:r>
        <w:rPr>
          <w:rFonts w:hint="eastAsia" w:ascii="宋体" w:hAnsi="宋体" w:cs="宋体"/>
          <w:bCs/>
          <w:color w:val="000000"/>
          <w:spacing w:val="10"/>
          <w:sz w:val="28"/>
          <w:szCs w:val="28"/>
          <w:highlight w:val="none"/>
          <w:lang w:val="en-US" w:eastAsia="zh-CN"/>
        </w:rPr>
        <w:t>国土空间总体规划》（2021-2035年）编制内容，建议充分考虑地块内配套设施，完善周边市政基础设施建设。</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center"/>
        <w:textAlignment w:val="auto"/>
        <w:rPr>
          <w:rFonts w:hint="eastAsia" w:ascii="宋体" w:hAnsi="宋体" w:cs="宋体"/>
          <w:b/>
          <w:bCs w:val="0"/>
          <w:color w:val="000000"/>
          <w:spacing w:val="10"/>
          <w:sz w:val="28"/>
          <w:szCs w:val="28"/>
        </w:rPr>
      </w:pPr>
      <w:r>
        <w:rPr>
          <w:rFonts w:hint="eastAsia" w:ascii="宋体" w:hAnsi="宋体" w:cs="宋体"/>
          <w:b/>
          <w:bCs w:val="0"/>
          <w:color w:val="000000"/>
          <w:spacing w:val="10"/>
          <w:sz w:val="28"/>
          <w:szCs w:val="28"/>
          <w:lang w:eastAsia="zh-CN"/>
        </w:rPr>
        <w:t>项目用地</w:t>
      </w:r>
      <w:r>
        <w:rPr>
          <w:rFonts w:hint="eastAsia" w:ascii="宋体" w:hAnsi="宋体" w:cs="宋体"/>
          <w:b/>
          <w:bCs w:val="0"/>
          <w:color w:val="000000"/>
          <w:spacing w:val="10"/>
          <w:sz w:val="28"/>
          <w:szCs w:val="28"/>
        </w:rPr>
        <w:t>修改后控制指标一览表</w:t>
      </w:r>
    </w:p>
    <w:bookmarkEnd w:id="58"/>
    <w:bookmarkEnd w:id="59"/>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56"/>
        <w:gridCol w:w="596"/>
        <w:gridCol w:w="975"/>
        <w:gridCol w:w="586"/>
        <w:gridCol w:w="932"/>
        <w:gridCol w:w="699"/>
        <w:gridCol w:w="1022"/>
        <w:gridCol w:w="756"/>
        <w:gridCol w:w="83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地块</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编号</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地块</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性质</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兼容性质</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地块面积（公顷）</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容积率</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建筑密度（%）</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绿地率</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建筑限高（米）</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配建</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车位</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（辆）</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建筑面积</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（平方米）</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出入口方向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pPr>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A-08-02</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090101</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0.53</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3.0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40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30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45</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48</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cs="宋体"/>
                <w:sz w:val="18"/>
                <w:szCs w:val="18"/>
                <w:highlight w:val="none"/>
                <w:vertAlign w:val="baseline"/>
                <w:lang w:val="en-US" w:eastAsia="zh-CN"/>
              </w:rPr>
            </w:pPr>
            <w:r>
              <w:rPr>
                <w:rFonts w:hint="eastAsia" w:cs="宋体"/>
                <w:sz w:val="18"/>
                <w:szCs w:val="18"/>
                <w:highlight w:val="none"/>
                <w:vertAlign w:val="baseline"/>
                <w:lang w:val="en-US" w:eastAsia="zh-CN"/>
              </w:rPr>
              <w:t>15822</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pPr>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A-08-07</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090101</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0.19</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3.9</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50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20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50</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74</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cs="宋体"/>
                <w:sz w:val="18"/>
                <w:szCs w:val="18"/>
                <w:highlight w:val="none"/>
                <w:vertAlign w:val="baseline"/>
                <w:lang w:val="en-US" w:eastAsia="zh-CN"/>
              </w:rPr>
            </w:pPr>
            <w:r>
              <w:rPr>
                <w:rFonts w:hint="eastAsia" w:cs="宋体"/>
                <w:sz w:val="18"/>
                <w:szCs w:val="18"/>
                <w:highlight w:val="none"/>
                <w:vertAlign w:val="baseline"/>
                <w:lang w:val="en-US" w:eastAsia="zh-CN"/>
              </w:rPr>
              <w:t>7488</w:t>
            </w:r>
          </w:p>
        </w:tc>
        <w:tc>
          <w:tcPr>
            <w:tcW w:w="0" w:type="auto"/>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gridSpan w:val="11"/>
            <w:vAlign w:val="center"/>
          </w:tcPr>
          <w:p>
            <w:pPr>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18"/>
                <w:szCs w:val="18"/>
                <w:highlight w:val="none"/>
                <w:vertAlign w:val="baseline"/>
                <w:lang w:val="en-US" w:eastAsia="zh-CN"/>
              </w:rPr>
            </w:pPr>
            <w:r>
              <w:rPr>
                <w:rFonts w:hint="eastAsia" w:cs="宋体"/>
                <w:sz w:val="18"/>
                <w:szCs w:val="18"/>
                <w:highlight w:val="none"/>
                <w:vertAlign w:val="baseline"/>
                <w:lang w:val="en-US" w:eastAsia="zh-CN"/>
              </w:rPr>
              <w:t>备注：容积率、建筑密度、建筑限高为控制上限；绿地率为控制下限。</w:t>
            </w:r>
          </w:p>
        </w:tc>
      </w:tr>
    </w:tbl>
    <w:p>
      <w:pPr>
        <w:pageBreakBefore w:val="0"/>
        <w:widowControl w:val="0"/>
        <w:kinsoku/>
        <w:wordWrap/>
        <w:overflowPunct/>
        <w:topLinePunct w:val="0"/>
        <w:autoSpaceDE/>
        <w:autoSpaceDN/>
        <w:bidi w:val="0"/>
        <w:adjustRightInd/>
        <w:snapToGrid/>
        <w:spacing w:line="540" w:lineRule="exact"/>
        <w:ind w:firstLine="560" w:firstLineChars="200"/>
        <w:jc w:val="left"/>
        <w:textAlignment w:val="auto"/>
        <w:outlineLvl w:val="9"/>
        <w:rPr>
          <w:rFonts w:hint="eastAsia" w:cs="宋体"/>
          <w:b w:val="0"/>
          <w:bCs/>
          <w:color w:val="000000"/>
          <w:sz w:val="28"/>
          <w:szCs w:val="28"/>
          <w:lang w:val="en-US" w:eastAsia="zh-CN"/>
        </w:rPr>
        <w:sectPr>
          <w:footerReference r:id="rId10" w:type="default"/>
          <w:pgSz w:w="11906" w:h="16838"/>
          <w:pgMar w:top="1440" w:right="1701" w:bottom="1440" w:left="1701" w:header="851" w:footer="992" w:gutter="0"/>
          <w:pgNumType w:fmt="decimal" w:start="1"/>
          <w:cols w:space="425" w:num="1"/>
          <w:docGrid w:type="lines" w:linePitch="326" w:charSpace="0"/>
        </w:sectPr>
      </w:pPr>
      <w:bookmarkStart w:id="150" w:name="_GoBack"/>
      <w:bookmarkEnd w:id="150"/>
    </w:p>
    <w:p>
      <w:pPr>
        <w:pageBreakBefore w:val="0"/>
        <w:widowControl w:val="0"/>
        <w:kinsoku/>
        <w:wordWrap/>
        <w:overflowPunct/>
        <w:topLinePunct w:val="0"/>
        <w:autoSpaceDE/>
        <w:autoSpaceDN/>
        <w:bidi w:val="0"/>
        <w:adjustRightInd/>
        <w:snapToGrid/>
        <w:spacing w:line="540" w:lineRule="exact"/>
        <w:textAlignment w:val="auto"/>
        <w:rPr>
          <w:rFonts w:hint="default" w:ascii="宋体" w:hAnsi="宋体" w:eastAsia="宋体" w:cs="宋体"/>
          <w:b/>
          <w:bCs w:val="0"/>
          <w:color w:val="000000"/>
          <w:sz w:val="30"/>
          <w:szCs w:val="30"/>
          <w:lang w:val="en-US" w:eastAsia="zh-CN"/>
        </w:rPr>
      </w:pPr>
    </w:p>
    <w:sectPr>
      <w:footerReference r:id="rId11" w:type="default"/>
      <w:pgSz w:w="11906" w:h="16838"/>
      <w:pgMar w:top="1440" w:right="1701" w:bottom="1440" w:left="1701" w:header="851" w:footer="992" w:gutter="0"/>
      <w:pgNumType w:fmt="decimal"/>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 w:name="等线 Light">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AdNq6/0gEAAKQDAAAOAAAAAAAAAAEAIAAAAB4BAABk&#10;cnMvZTJvRG9jLnhtbFBLBQYAAAAABgAGAFkBAABiBQ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lang w:val="en-US"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252"/>
        <w:tab w:val="clear" w:pos="4153"/>
      </w:tabs>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both"/>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E58418"/>
    <w:multiLevelType w:val="singleLevel"/>
    <w:tmpl w:val="F4E58418"/>
    <w:lvl w:ilvl="0" w:tentative="0">
      <w:start w:val="1"/>
      <w:numFmt w:val="chineseCounting"/>
      <w:suff w:val="nothing"/>
      <w:lvlText w:val="%1、"/>
      <w:lvlJc w:val="left"/>
      <w:rPr>
        <w:rFonts w:hint="eastAsia"/>
      </w:rPr>
    </w:lvl>
  </w:abstractNum>
  <w:abstractNum w:abstractNumId="1">
    <w:nsid w:val="6A3C5826"/>
    <w:multiLevelType w:val="singleLevel"/>
    <w:tmpl w:val="6A3C5826"/>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jNDViNTk5OWEyNDI5ZmUwNDIxNGMzM2M1MzA4YjQifQ=="/>
  </w:docVars>
  <w:rsids>
    <w:rsidRoot w:val="00172A27"/>
    <w:rsid w:val="0000352D"/>
    <w:rsid w:val="000053D7"/>
    <w:rsid w:val="00011292"/>
    <w:rsid w:val="00015B9D"/>
    <w:rsid w:val="00025530"/>
    <w:rsid w:val="00025625"/>
    <w:rsid w:val="00026873"/>
    <w:rsid w:val="0005060B"/>
    <w:rsid w:val="0006104F"/>
    <w:rsid w:val="0006311B"/>
    <w:rsid w:val="00073321"/>
    <w:rsid w:val="000856C9"/>
    <w:rsid w:val="00086D18"/>
    <w:rsid w:val="00095A68"/>
    <w:rsid w:val="000B1274"/>
    <w:rsid w:val="000B7584"/>
    <w:rsid w:val="000D210A"/>
    <w:rsid w:val="000E2E3D"/>
    <w:rsid w:val="000E7976"/>
    <w:rsid w:val="000F706D"/>
    <w:rsid w:val="00105C05"/>
    <w:rsid w:val="001068E2"/>
    <w:rsid w:val="00107E1F"/>
    <w:rsid w:val="00110D51"/>
    <w:rsid w:val="00112FFE"/>
    <w:rsid w:val="001370B1"/>
    <w:rsid w:val="00145431"/>
    <w:rsid w:val="00150ED8"/>
    <w:rsid w:val="001645C4"/>
    <w:rsid w:val="00164B25"/>
    <w:rsid w:val="00170575"/>
    <w:rsid w:val="001735A0"/>
    <w:rsid w:val="00181C35"/>
    <w:rsid w:val="00182564"/>
    <w:rsid w:val="001864EB"/>
    <w:rsid w:val="00192801"/>
    <w:rsid w:val="001960B5"/>
    <w:rsid w:val="00197DED"/>
    <w:rsid w:val="001A6709"/>
    <w:rsid w:val="001B3CC1"/>
    <w:rsid w:val="001C0CDE"/>
    <w:rsid w:val="001D4FB5"/>
    <w:rsid w:val="001D60D4"/>
    <w:rsid w:val="001E0021"/>
    <w:rsid w:val="001E377C"/>
    <w:rsid w:val="001E6B60"/>
    <w:rsid w:val="001F237E"/>
    <w:rsid w:val="001F38C0"/>
    <w:rsid w:val="001F4BAA"/>
    <w:rsid w:val="001F6008"/>
    <w:rsid w:val="001F67D2"/>
    <w:rsid w:val="002019C8"/>
    <w:rsid w:val="00204DDD"/>
    <w:rsid w:val="002110C8"/>
    <w:rsid w:val="00215E61"/>
    <w:rsid w:val="0022258E"/>
    <w:rsid w:val="00236007"/>
    <w:rsid w:val="00237D94"/>
    <w:rsid w:val="00245582"/>
    <w:rsid w:val="0026157A"/>
    <w:rsid w:val="00261B30"/>
    <w:rsid w:val="002659B2"/>
    <w:rsid w:val="00265CF3"/>
    <w:rsid w:val="00275C28"/>
    <w:rsid w:val="002833E2"/>
    <w:rsid w:val="00290C12"/>
    <w:rsid w:val="002967AC"/>
    <w:rsid w:val="00297F0F"/>
    <w:rsid w:val="002E3800"/>
    <w:rsid w:val="002E70BF"/>
    <w:rsid w:val="002F483D"/>
    <w:rsid w:val="00304825"/>
    <w:rsid w:val="00316634"/>
    <w:rsid w:val="00321F0E"/>
    <w:rsid w:val="003232AD"/>
    <w:rsid w:val="00334C41"/>
    <w:rsid w:val="00343617"/>
    <w:rsid w:val="00343CE1"/>
    <w:rsid w:val="00344902"/>
    <w:rsid w:val="00350D5E"/>
    <w:rsid w:val="0035544F"/>
    <w:rsid w:val="003732BA"/>
    <w:rsid w:val="00383AFB"/>
    <w:rsid w:val="00397D25"/>
    <w:rsid w:val="003A1588"/>
    <w:rsid w:val="003B0DF6"/>
    <w:rsid w:val="003B4BF4"/>
    <w:rsid w:val="003B6B08"/>
    <w:rsid w:val="003B6DEC"/>
    <w:rsid w:val="003C0883"/>
    <w:rsid w:val="003D377E"/>
    <w:rsid w:val="003D50F9"/>
    <w:rsid w:val="003E606E"/>
    <w:rsid w:val="004014C4"/>
    <w:rsid w:val="0041061C"/>
    <w:rsid w:val="004157DF"/>
    <w:rsid w:val="00422712"/>
    <w:rsid w:val="00422EFE"/>
    <w:rsid w:val="00422F86"/>
    <w:rsid w:val="0042778F"/>
    <w:rsid w:val="00431E39"/>
    <w:rsid w:val="00433B03"/>
    <w:rsid w:val="0044064F"/>
    <w:rsid w:val="00443054"/>
    <w:rsid w:val="00445C83"/>
    <w:rsid w:val="004472AD"/>
    <w:rsid w:val="00456B66"/>
    <w:rsid w:val="00465A98"/>
    <w:rsid w:val="00471E13"/>
    <w:rsid w:val="00484FF8"/>
    <w:rsid w:val="004A3331"/>
    <w:rsid w:val="004A4BE2"/>
    <w:rsid w:val="004B6C95"/>
    <w:rsid w:val="004B6F63"/>
    <w:rsid w:val="004B739A"/>
    <w:rsid w:val="004C376A"/>
    <w:rsid w:val="004D4A78"/>
    <w:rsid w:val="004F3BA0"/>
    <w:rsid w:val="0051229E"/>
    <w:rsid w:val="005271A7"/>
    <w:rsid w:val="0053511F"/>
    <w:rsid w:val="005356A9"/>
    <w:rsid w:val="00536711"/>
    <w:rsid w:val="00552FE7"/>
    <w:rsid w:val="00554914"/>
    <w:rsid w:val="00561C13"/>
    <w:rsid w:val="005757FC"/>
    <w:rsid w:val="00576562"/>
    <w:rsid w:val="00582AE9"/>
    <w:rsid w:val="00585B1E"/>
    <w:rsid w:val="00587224"/>
    <w:rsid w:val="005B523F"/>
    <w:rsid w:val="005B610E"/>
    <w:rsid w:val="005B7866"/>
    <w:rsid w:val="005C2F82"/>
    <w:rsid w:val="005D1DB0"/>
    <w:rsid w:val="005D2655"/>
    <w:rsid w:val="005D3126"/>
    <w:rsid w:val="005D3B9B"/>
    <w:rsid w:val="005F08C2"/>
    <w:rsid w:val="00613AF9"/>
    <w:rsid w:val="00616145"/>
    <w:rsid w:val="0064374B"/>
    <w:rsid w:val="006525F1"/>
    <w:rsid w:val="00655CC7"/>
    <w:rsid w:val="00657CE6"/>
    <w:rsid w:val="00661F7D"/>
    <w:rsid w:val="006642DC"/>
    <w:rsid w:val="00665563"/>
    <w:rsid w:val="00666BE6"/>
    <w:rsid w:val="00670891"/>
    <w:rsid w:val="00671076"/>
    <w:rsid w:val="00684412"/>
    <w:rsid w:val="00696BD4"/>
    <w:rsid w:val="006A05CA"/>
    <w:rsid w:val="006B71F4"/>
    <w:rsid w:val="006C40A8"/>
    <w:rsid w:val="006C50A4"/>
    <w:rsid w:val="006E2470"/>
    <w:rsid w:val="006F4965"/>
    <w:rsid w:val="00717FDB"/>
    <w:rsid w:val="00720806"/>
    <w:rsid w:val="00744580"/>
    <w:rsid w:val="00745925"/>
    <w:rsid w:val="007509B5"/>
    <w:rsid w:val="00764299"/>
    <w:rsid w:val="00783918"/>
    <w:rsid w:val="0078452D"/>
    <w:rsid w:val="00792E21"/>
    <w:rsid w:val="007A1819"/>
    <w:rsid w:val="007A3806"/>
    <w:rsid w:val="007A5A93"/>
    <w:rsid w:val="007A65BE"/>
    <w:rsid w:val="007B5061"/>
    <w:rsid w:val="007C0DCB"/>
    <w:rsid w:val="007C2B46"/>
    <w:rsid w:val="007D0C4C"/>
    <w:rsid w:val="007E3E5D"/>
    <w:rsid w:val="007E4D3E"/>
    <w:rsid w:val="007E6F7C"/>
    <w:rsid w:val="007F70C2"/>
    <w:rsid w:val="008049A5"/>
    <w:rsid w:val="00804FAF"/>
    <w:rsid w:val="0081689C"/>
    <w:rsid w:val="00840F07"/>
    <w:rsid w:val="00857301"/>
    <w:rsid w:val="00857558"/>
    <w:rsid w:val="00860923"/>
    <w:rsid w:val="00866CF5"/>
    <w:rsid w:val="00880BB1"/>
    <w:rsid w:val="0088249E"/>
    <w:rsid w:val="0088525B"/>
    <w:rsid w:val="00887349"/>
    <w:rsid w:val="00892AD9"/>
    <w:rsid w:val="00896E94"/>
    <w:rsid w:val="008A1852"/>
    <w:rsid w:val="008A28AA"/>
    <w:rsid w:val="008A70F5"/>
    <w:rsid w:val="008C3E27"/>
    <w:rsid w:val="008D01DF"/>
    <w:rsid w:val="008D7E3F"/>
    <w:rsid w:val="008E0CE4"/>
    <w:rsid w:val="008E2707"/>
    <w:rsid w:val="008E6141"/>
    <w:rsid w:val="008F1156"/>
    <w:rsid w:val="008F51F7"/>
    <w:rsid w:val="009067E4"/>
    <w:rsid w:val="00912DC1"/>
    <w:rsid w:val="00920445"/>
    <w:rsid w:val="009208E1"/>
    <w:rsid w:val="00922D65"/>
    <w:rsid w:val="00934D75"/>
    <w:rsid w:val="00941E1E"/>
    <w:rsid w:val="00941FC1"/>
    <w:rsid w:val="00950721"/>
    <w:rsid w:val="00953F3C"/>
    <w:rsid w:val="0095615F"/>
    <w:rsid w:val="00963488"/>
    <w:rsid w:val="00983064"/>
    <w:rsid w:val="009936A6"/>
    <w:rsid w:val="00997FE2"/>
    <w:rsid w:val="009A2BF3"/>
    <w:rsid w:val="009B4666"/>
    <w:rsid w:val="009C326E"/>
    <w:rsid w:val="009C62D5"/>
    <w:rsid w:val="009D13FA"/>
    <w:rsid w:val="009D7CDB"/>
    <w:rsid w:val="009E28AB"/>
    <w:rsid w:val="009E4A87"/>
    <w:rsid w:val="009E5AD0"/>
    <w:rsid w:val="009E66E4"/>
    <w:rsid w:val="009F6398"/>
    <w:rsid w:val="00A07EA9"/>
    <w:rsid w:val="00A272B8"/>
    <w:rsid w:val="00A27FEB"/>
    <w:rsid w:val="00A30802"/>
    <w:rsid w:val="00A31365"/>
    <w:rsid w:val="00A372C2"/>
    <w:rsid w:val="00A47789"/>
    <w:rsid w:val="00A508DD"/>
    <w:rsid w:val="00A54112"/>
    <w:rsid w:val="00A73A60"/>
    <w:rsid w:val="00A76D81"/>
    <w:rsid w:val="00A81327"/>
    <w:rsid w:val="00A846D0"/>
    <w:rsid w:val="00A84924"/>
    <w:rsid w:val="00A873A3"/>
    <w:rsid w:val="00A87D3B"/>
    <w:rsid w:val="00A9396E"/>
    <w:rsid w:val="00A953B5"/>
    <w:rsid w:val="00AA2D70"/>
    <w:rsid w:val="00AB1819"/>
    <w:rsid w:val="00AB6E0C"/>
    <w:rsid w:val="00AC51B2"/>
    <w:rsid w:val="00AD4C8F"/>
    <w:rsid w:val="00AE601D"/>
    <w:rsid w:val="00AF3497"/>
    <w:rsid w:val="00AF5159"/>
    <w:rsid w:val="00B0427E"/>
    <w:rsid w:val="00B0654C"/>
    <w:rsid w:val="00B13B99"/>
    <w:rsid w:val="00B35383"/>
    <w:rsid w:val="00B42F9F"/>
    <w:rsid w:val="00B46E6E"/>
    <w:rsid w:val="00B52E41"/>
    <w:rsid w:val="00B54A00"/>
    <w:rsid w:val="00B714DD"/>
    <w:rsid w:val="00B76CE7"/>
    <w:rsid w:val="00B80F96"/>
    <w:rsid w:val="00B90196"/>
    <w:rsid w:val="00B9164C"/>
    <w:rsid w:val="00B94F37"/>
    <w:rsid w:val="00B952AF"/>
    <w:rsid w:val="00B9602D"/>
    <w:rsid w:val="00BB3F07"/>
    <w:rsid w:val="00BB683E"/>
    <w:rsid w:val="00BB6E20"/>
    <w:rsid w:val="00BB7D00"/>
    <w:rsid w:val="00BD3F99"/>
    <w:rsid w:val="00BF1B8F"/>
    <w:rsid w:val="00C027C0"/>
    <w:rsid w:val="00C100DF"/>
    <w:rsid w:val="00C251BF"/>
    <w:rsid w:val="00C435D0"/>
    <w:rsid w:val="00C51C63"/>
    <w:rsid w:val="00C54C5F"/>
    <w:rsid w:val="00C57D35"/>
    <w:rsid w:val="00C6002C"/>
    <w:rsid w:val="00C733D0"/>
    <w:rsid w:val="00C7448D"/>
    <w:rsid w:val="00C81C31"/>
    <w:rsid w:val="00C87E80"/>
    <w:rsid w:val="00CA0D24"/>
    <w:rsid w:val="00CA699C"/>
    <w:rsid w:val="00CA798A"/>
    <w:rsid w:val="00CC1DE9"/>
    <w:rsid w:val="00CC31A4"/>
    <w:rsid w:val="00CC47A1"/>
    <w:rsid w:val="00CE0FEC"/>
    <w:rsid w:val="00CE5C75"/>
    <w:rsid w:val="00D01C11"/>
    <w:rsid w:val="00D06EB9"/>
    <w:rsid w:val="00D10377"/>
    <w:rsid w:val="00D22874"/>
    <w:rsid w:val="00D25921"/>
    <w:rsid w:val="00D31C36"/>
    <w:rsid w:val="00D35E84"/>
    <w:rsid w:val="00D42092"/>
    <w:rsid w:val="00D457FB"/>
    <w:rsid w:val="00D45A2F"/>
    <w:rsid w:val="00D471D0"/>
    <w:rsid w:val="00D5597E"/>
    <w:rsid w:val="00D63254"/>
    <w:rsid w:val="00D644E5"/>
    <w:rsid w:val="00D73602"/>
    <w:rsid w:val="00D806B7"/>
    <w:rsid w:val="00D90CF6"/>
    <w:rsid w:val="00D94168"/>
    <w:rsid w:val="00D9423C"/>
    <w:rsid w:val="00D96422"/>
    <w:rsid w:val="00D969F4"/>
    <w:rsid w:val="00DB75AA"/>
    <w:rsid w:val="00DC1027"/>
    <w:rsid w:val="00DC7F4B"/>
    <w:rsid w:val="00DD57BE"/>
    <w:rsid w:val="00DE1C9C"/>
    <w:rsid w:val="00DE5D87"/>
    <w:rsid w:val="00DE5E5A"/>
    <w:rsid w:val="00DF604C"/>
    <w:rsid w:val="00DF71C2"/>
    <w:rsid w:val="00E04ACE"/>
    <w:rsid w:val="00E152E9"/>
    <w:rsid w:val="00E179FC"/>
    <w:rsid w:val="00E3035E"/>
    <w:rsid w:val="00E30AE0"/>
    <w:rsid w:val="00E30EB9"/>
    <w:rsid w:val="00E36248"/>
    <w:rsid w:val="00E42A37"/>
    <w:rsid w:val="00E46F7A"/>
    <w:rsid w:val="00E513B0"/>
    <w:rsid w:val="00E535E0"/>
    <w:rsid w:val="00E61693"/>
    <w:rsid w:val="00E722B9"/>
    <w:rsid w:val="00E77B23"/>
    <w:rsid w:val="00E81FB5"/>
    <w:rsid w:val="00E86936"/>
    <w:rsid w:val="00E97241"/>
    <w:rsid w:val="00EA62A4"/>
    <w:rsid w:val="00EC5B4D"/>
    <w:rsid w:val="00ED403E"/>
    <w:rsid w:val="00EE487E"/>
    <w:rsid w:val="00EE4928"/>
    <w:rsid w:val="00EE54D7"/>
    <w:rsid w:val="00F00D8C"/>
    <w:rsid w:val="00F04618"/>
    <w:rsid w:val="00F15154"/>
    <w:rsid w:val="00F17B43"/>
    <w:rsid w:val="00F214C3"/>
    <w:rsid w:val="00F30724"/>
    <w:rsid w:val="00F327B1"/>
    <w:rsid w:val="00F36433"/>
    <w:rsid w:val="00F40652"/>
    <w:rsid w:val="00F45914"/>
    <w:rsid w:val="00F533A9"/>
    <w:rsid w:val="00F543F0"/>
    <w:rsid w:val="00F5709E"/>
    <w:rsid w:val="00F61DA1"/>
    <w:rsid w:val="00F644A6"/>
    <w:rsid w:val="00F64E82"/>
    <w:rsid w:val="00F66D23"/>
    <w:rsid w:val="00F709C5"/>
    <w:rsid w:val="00F748E3"/>
    <w:rsid w:val="00F749E7"/>
    <w:rsid w:val="00F82E2F"/>
    <w:rsid w:val="00F830B9"/>
    <w:rsid w:val="00F833C9"/>
    <w:rsid w:val="00F91AE8"/>
    <w:rsid w:val="00F92091"/>
    <w:rsid w:val="00F96937"/>
    <w:rsid w:val="00FA4AEF"/>
    <w:rsid w:val="00FA78F0"/>
    <w:rsid w:val="00FB7F70"/>
    <w:rsid w:val="00FC34B3"/>
    <w:rsid w:val="00FC4634"/>
    <w:rsid w:val="00FE2C2C"/>
    <w:rsid w:val="00FE79C1"/>
    <w:rsid w:val="00FF747E"/>
    <w:rsid w:val="01015615"/>
    <w:rsid w:val="01182C38"/>
    <w:rsid w:val="01AA2609"/>
    <w:rsid w:val="01D50890"/>
    <w:rsid w:val="025D5C1A"/>
    <w:rsid w:val="02D40E9C"/>
    <w:rsid w:val="02F3476B"/>
    <w:rsid w:val="02F37012"/>
    <w:rsid w:val="02F634A4"/>
    <w:rsid w:val="03331D84"/>
    <w:rsid w:val="038347F8"/>
    <w:rsid w:val="03EF7C67"/>
    <w:rsid w:val="03F31FD2"/>
    <w:rsid w:val="03FB1B12"/>
    <w:rsid w:val="03FC42DE"/>
    <w:rsid w:val="04243BD8"/>
    <w:rsid w:val="0482510A"/>
    <w:rsid w:val="04880A4D"/>
    <w:rsid w:val="04C3749C"/>
    <w:rsid w:val="04EC0748"/>
    <w:rsid w:val="0532250A"/>
    <w:rsid w:val="0536126F"/>
    <w:rsid w:val="057C1CC2"/>
    <w:rsid w:val="058504F5"/>
    <w:rsid w:val="058E5C26"/>
    <w:rsid w:val="06392ED0"/>
    <w:rsid w:val="064616FF"/>
    <w:rsid w:val="06554D9F"/>
    <w:rsid w:val="068B4CFB"/>
    <w:rsid w:val="075133D3"/>
    <w:rsid w:val="07AB161C"/>
    <w:rsid w:val="07B35241"/>
    <w:rsid w:val="07B520DA"/>
    <w:rsid w:val="07D318AF"/>
    <w:rsid w:val="0808616E"/>
    <w:rsid w:val="081A37FB"/>
    <w:rsid w:val="082E61D0"/>
    <w:rsid w:val="09057152"/>
    <w:rsid w:val="09842C00"/>
    <w:rsid w:val="0A4D430F"/>
    <w:rsid w:val="0A825C4D"/>
    <w:rsid w:val="0ADA6D73"/>
    <w:rsid w:val="0AE47EC3"/>
    <w:rsid w:val="0C1301B6"/>
    <w:rsid w:val="0C500872"/>
    <w:rsid w:val="0C5517B8"/>
    <w:rsid w:val="0C794286"/>
    <w:rsid w:val="0D3A1AEB"/>
    <w:rsid w:val="0DC012CD"/>
    <w:rsid w:val="0DD54D5D"/>
    <w:rsid w:val="0E080CF1"/>
    <w:rsid w:val="0E4041F5"/>
    <w:rsid w:val="0E473613"/>
    <w:rsid w:val="0E674F7C"/>
    <w:rsid w:val="0E696134"/>
    <w:rsid w:val="0ED168E7"/>
    <w:rsid w:val="0EE8476C"/>
    <w:rsid w:val="0F1C597A"/>
    <w:rsid w:val="102940F2"/>
    <w:rsid w:val="102B1909"/>
    <w:rsid w:val="108F117A"/>
    <w:rsid w:val="10EF2309"/>
    <w:rsid w:val="110D073B"/>
    <w:rsid w:val="112E11BC"/>
    <w:rsid w:val="113D531D"/>
    <w:rsid w:val="118F2309"/>
    <w:rsid w:val="11A14841"/>
    <w:rsid w:val="11E46152"/>
    <w:rsid w:val="125D6DA5"/>
    <w:rsid w:val="12C2328F"/>
    <w:rsid w:val="12C8390D"/>
    <w:rsid w:val="12CE4746"/>
    <w:rsid w:val="12ED24C8"/>
    <w:rsid w:val="130C54B8"/>
    <w:rsid w:val="13A31AF1"/>
    <w:rsid w:val="13E96F80"/>
    <w:rsid w:val="13FB030B"/>
    <w:rsid w:val="140331AD"/>
    <w:rsid w:val="15BA46B3"/>
    <w:rsid w:val="15EF5219"/>
    <w:rsid w:val="165F5A70"/>
    <w:rsid w:val="16FA0951"/>
    <w:rsid w:val="17666FFC"/>
    <w:rsid w:val="17BE69EC"/>
    <w:rsid w:val="180A2476"/>
    <w:rsid w:val="18132B73"/>
    <w:rsid w:val="187E3646"/>
    <w:rsid w:val="189C737B"/>
    <w:rsid w:val="19945255"/>
    <w:rsid w:val="1A40420B"/>
    <w:rsid w:val="1AF17439"/>
    <w:rsid w:val="1B6846E6"/>
    <w:rsid w:val="1BE077F0"/>
    <w:rsid w:val="1C3C5DAD"/>
    <w:rsid w:val="1CBB2E8C"/>
    <w:rsid w:val="1D0B24F7"/>
    <w:rsid w:val="1DAE5909"/>
    <w:rsid w:val="1DB53059"/>
    <w:rsid w:val="1DCE22F6"/>
    <w:rsid w:val="1E515800"/>
    <w:rsid w:val="1E746390"/>
    <w:rsid w:val="1F1C001B"/>
    <w:rsid w:val="1F4D1233"/>
    <w:rsid w:val="1FF972C3"/>
    <w:rsid w:val="20295088"/>
    <w:rsid w:val="20461868"/>
    <w:rsid w:val="20994F2C"/>
    <w:rsid w:val="20A5414A"/>
    <w:rsid w:val="21C079A7"/>
    <w:rsid w:val="21E53C68"/>
    <w:rsid w:val="21EF1EBF"/>
    <w:rsid w:val="225A66B1"/>
    <w:rsid w:val="226513C9"/>
    <w:rsid w:val="228E1514"/>
    <w:rsid w:val="23EE17CF"/>
    <w:rsid w:val="2437337B"/>
    <w:rsid w:val="24C6497E"/>
    <w:rsid w:val="24F27D51"/>
    <w:rsid w:val="24F31752"/>
    <w:rsid w:val="250273A3"/>
    <w:rsid w:val="2505484D"/>
    <w:rsid w:val="250640C2"/>
    <w:rsid w:val="251A49DB"/>
    <w:rsid w:val="255B4423"/>
    <w:rsid w:val="25B36230"/>
    <w:rsid w:val="267D4065"/>
    <w:rsid w:val="26D81FB6"/>
    <w:rsid w:val="26DC22C3"/>
    <w:rsid w:val="27110B29"/>
    <w:rsid w:val="278A62FB"/>
    <w:rsid w:val="278F3DF2"/>
    <w:rsid w:val="27950A51"/>
    <w:rsid w:val="279A17BA"/>
    <w:rsid w:val="280E2503"/>
    <w:rsid w:val="289D48BA"/>
    <w:rsid w:val="28C37B95"/>
    <w:rsid w:val="29EE40E4"/>
    <w:rsid w:val="2A1815DA"/>
    <w:rsid w:val="2A461F39"/>
    <w:rsid w:val="2A6B73DC"/>
    <w:rsid w:val="2AA55D28"/>
    <w:rsid w:val="2AAE2F5A"/>
    <w:rsid w:val="2B5B286F"/>
    <w:rsid w:val="2B6E2B46"/>
    <w:rsid w:val="2BBD686B"/>
    <w:rsid w:val="2C39219D"/>
    <w:rsid w:val="2C4C75E6"/>
    <w:rsid w:val="2C6B3BD2"/>
    <w:rsid w:val="2CC07F9A"/>
    <w:rsid w:val="2CC4441E"/>
    <w:rsid w:val="2CC93838"/>
    <w:rsid w:val="2D1212ED"/>
    <w:rsid w:val="2D3059F6"/>
    <w:rsid w:val="2D3879F4"/>
    <w:rsid w:val="2D606EC6"/>
    <w:rsid w:val="2DA22F22"/>
    <w:rsid w:val="2DEE00D0"/>
    <w:rsid w:val="2DFC6F94"/>
    <w:rsid w:val="2EB16FE3"/>
    <w:rsid w:val="2EBC14AB"/>
    <w:rsid w:val="2F3A5ECA"/>
    <w:rsid w:val="2F4A1D35"/>
    <w:rsid w:val="30192E1C"/>
    <w:rsid w:val="30F635F0"/>
    <w:rsid w:val="31447C8F"/>
    <w:rsid w:val="31F167D5"/>
    <w:rsid w:val="31F94402"/>
    <w:rsid w:val="32B6374B"/>
    <w:rsid w:val="32CF607D"/>
    <w:rsid w:val="337861FE"/>
    <w:rsid w:val="3482361B"/>
    <w:rsid w:val="35012CF7"/>
    <w:rsid w:val="35617D41"/>
    <w:rsid w:val="35A902C5"/>
    <w:rsid w:val="35EB494F"/>
    <w:rsid w:val="361B3DF3"/>
    <w:rsid w:val="362634CA"/>
    <w:rsid w:val="36331D3B"/>
    <w:rsid w:val="364E0B69"/>
    <w:rsid w:val="36D3030B"/>
    <w:rsid w:val="37475A17"/>
    <w:rsid w:val="37931338"/>
    <w:rsid w:val="379C2EC1"/>
    <w:rsid w:val="37E116CC"/>
    <w:rsid w:val="389A11CC"/>
    <w:rsid w:val="39231DBA"/>
    <w:rsid w:val="39275AE1"/>
    <w:rsid w:val="395A0E35"/>
    <w:rsid w:val="399A5AE5"/>
    <w:rsid w:val="3A265C73"/>
    <w:rsid w:val="3A616EF8"/>
    <w:rsid w:val="3A807F64"/>
    <w:rsid w:val="3B7A5A8D"/>
    <w:rsid w:val="3BEF6B10"/>
    <w:rsid w:val="3C315498"/>
    <w:rsid w:val="3CBA5885"/>
    <w:rsid w:val="3CCD63AD"/>
    <w:rsid w:val="3CDF6BE8"/>
    <w:rsid w:val="3D2532AD"/>
    <w:rsid w:val="3D305D20"/>
    <w:rsid w:val="3D3659AF"/>
    <w:rsid w:val="3DA15D37"/>
    <w:rsid w:val="3DA75FED"/>
    <w:rsid w:val="3E916C1F"/>
    <w:rsid w:val="3EBB01B7"/>
    <w:rsid w:val="3ED051D8"/>
    <w:rsid w:val="3F020B3E"/>
    <w:rsid w:val="3F053BE3"/>
    <w:rsid w:val="3F454CA6"/>
    <w:rsid w:val="3F460429"/>
    <w:rsid w:val="40252F95"/>
    <w:rsid w:val="402B070F"/>
    <w:rsid w:val="402B2F61"/>
    <w:rsid w:val="40372114"/>
    <w:rsid w:val="40494BE2"/>
    <w:rsid w:val="407E26C2"/>
    <w:rsid w:val="409366D6"/>
    <w:rsid w:val="409E265C"/>
    <w:rsid w:val="40EB11DB"/>
    <w:rsid w:val="41B111A6"/>
    <w:rsid w:val="428E215D"/>
    <w:rsid w:val="42F63998"/>
    <w:rsid w:val="432F14D1"/>
    <w:rsid w:val="434323D0"/>
    <w:rsid w:val="43C30FAE"/>
    <w:rsid w:val="44217DD0"/>
    <w:rsid w:val="44280671"/>
    <w:rsid w:val="447D6272"/>
    <w:rsid w:val="4495216A"/>
    <w:rsid w:val="449674DE"/>
    <w:rsid w:val="45714362"/>
    <w:rsid w:val="45AB4A94"/>
    <w:rsid w:val="45C85529"/>
    <w:rsid w:val="46316802"/>
    <w:rsid w:val="4639072D"/>
    <w:rsid w:val="4669507C"/>
    <w:rsid w:val="46B64B56"/>
    <w:rsid w:val="46EF702F"/>
    <w:rsid w:val="481A5A40"/>
    <w:rsid w:val="48277F71"/>
    <w:rsid w:val="48726C2B"/>
    <w:rsid w:val="49122900"/>
    <w:rsid w:val="492250B3"/>
    <w:rsid w:val="49632095"/>
    <w:rsid w:val="49AA24D9"/>
    <w:rsid w:val="49D830B6"/>
    <w:rsid w:val="4A5B1BA2"/>
    <w:rsid w:val="4A952E7C"/>
    <w:rsid w:val="4B561D5C"/>
    <w:rsid w:val="4B7B4CE7"/>
    <w:rsid w:val="4BBF0531"/>
    <w:rsid w:val="4BC6583F"/>
    <w:rsid w:val="4C9B64F3"/>
    <w:rsid w:val="4CC963DD"/>
    <w:rsid w:val="4D154C2A"/>
    <w:rsid w:val="4D764B0E"/>
    <w:rsid w:val="4DA215A2"/>
    <w:rsid w:val="4DAF7B35"/>
    <w:rsid w:val="4DE27A63"/>
    <w:rsid w:val="4E030F6B"/>
    <w:rsid w:val="4E16578A"/>
    <w:rsid w:val="4E1E04FA"/>
    <w:rsid w:val="4E451773"/>
    <w:rsid w:val="4E7A4CFE"/>
    <w:rsid w:val="4EAF043A"/>
    <w:rsid w:val="4EB36455"/>
    <w:rsid w:val="4F1929EC"/>
    <w:rsid w:val="4F3B28D9"/>
    <w:rsid w:val="4F8B1DAA"/>
    <w:rsid w:val="4FC81DBA"/>
    <w:rsid w:val="50025BF9"/>
    <w:rsid w:val="50306065"/>
    <w:rsid w:val="50BC2DB5"/>
    <w:rsid w:val="50E906AA"/>
    <w:rsid w:val="50F201F7"/>
    <w:rsid w:val="519525A0"/>
    <w:rsid w:val="51B36C9C"/>
    <w:rsid w:val="51C410E9"/>
    <w:rsid w:val="51EA2012"/>
    <w:rsid w:val="522A16AA"/>
    <w:rsid w:val="52426151"/>
    <w:rsid w:val="52541C84"/>
    <w:rsid w:val="526B5CD8"/>
    <w:rsid w:val="528924DF"/>
    <w:rsid w:val="52AA6800"/>
    <w:rsid w:val="52ED0083"/>
    <w:rsid w:val="52FD5D39"/>
    <w:rsid w:val="53462C96"/>
    <w:rsid w:val="535029F5"/>
    <w:rsid w:val="53AF6E78"/>
    <w:rsid w:val="53D00C1F"/>
    <w:rsid w:val="548A08FE"/>
    <w:rsid w:val="551930BC"/>
    <w:rsid w:val="5573446A"/>
    <w:rsid w:val="55924A60"/>
    <w:rsid w:val="55E4749A"/>
    <w:rsid w:val="55E90C8C"/>
    <w:rsid w:val="55FA7A9F"/>
    <w:rsid w:val="562501E7"/>
    <w:rsid w:val="56641971"/>
    <w:rsid w:val="567677CB"/>
    <w:rsid w:val="56C04B10"/>
    <w:rsid w:val="56D1582C"/>
    <w:rsid w:val="56EC7EF7"/>
    <w:rsid w:val="57AC0D73"/>
    <w:rsid w:val="5843162D"/>
    <w:rsid w:val="585E0319"/>
    <w:rsid w:val="58670F85"/>
    <w:rsid w:val="58946766"/>
    <w:rsid w:val="589B3340"/>
    <w:rsid w:val="58C06C50"/>
    <w:rsid w:val="58C21E74"/>
    <w:rsid w:val="58E66873"/>
    <w:rsid w:val="594370F9"/>
    <w:rsid w:val="594A5374"/>
    <w:rsid w:val="5A691AF5"/>
    <w:rsid w:val="5A7519C7"/>
    <w:rsid w:val="5A785366"/>
    <w:rsid w:val="5A7B7BA7"/>
    <w:rsid w:val="5AC661A1"/>
    <w:rsid w:val="5ACB26D0"/>
    <w:rsid w:val="5ADC5E02"/>
    <w:rsid w:val="5AFC1624"/>
    <w:rsid w:val="5B3E1F01"/>
    <w:rsid w:val="5B4A6323"/>
    <w:rsid w:val="5B7E31EA"/>
    <w:rsid w:val="5B9A63B9"/>
    <w:rsid w:val="5D842E45"/>
    <w:rsid w:val="5D8E2646"/>
    <w:rsid w:val="5E1E0C4E"/>
    <w:rsid w:val="5E4B7916"/>
    <w:rsid w:val="5EEE2DE5"/>
    <w:rsid w:val="5F1E52C0"/>
    <w:rsid w:val="60283C69"/>
    <w:rsid w:val="60A95523"/>
    <w:rsid w:val="60BD642B"/>
    <w:rsid w:val="60CF6452"/>
    <w:rsid w:val="60DE3273"/>
    <w:rsid w:val="61046D8E"/>
    <w:rsid w:val="617B34E3"/>
    <w:rsid w:val="61BC2938"/>
    <w:rsid w:val="61CE35FE"/>
    <w:rsid w:val="62B21C9D"/>
    <w:rsid w:val="62C97FC7"/>
    <w:rsid w:val="62EB003D"/>
    <w:rsid w:val="62FA10DE"/>
    <w:rsid w:val="62FB2AB3"/>
    <w:rsid w:val="63077C30"/>
    <w:rsid w:val="631303F2"/>
    <w:rsid w:val="637423D0"/>
    <w:rsid w:val="63854821"/>
    <w:rsid w:val="63CE7879"/>
    <w:rsid w:val="64545571"/>
    <w:rsid w:val="64DE1B44"/>
    <w:rsid w:val="65085126"/>
    <w:rsid w:val="663D520B"/>
    <w:rsid w:val="66A35A4C"/>
    <w:rsid w:val="67096B87"/>
    <w:rsid w:val="672116CE"/>
    <w:rsid w:val="6739255E"/>
    <w:rsid w:val="682F04FF"/>
    <w:rsid w:val="683B071F"/>
    <w:rsid w:val="68931127"/>
    <w:rsid w:val="69001ABD"/>
    <w:rsid w:val="690C4F6A"/>
    <w:rsid w:val="6911183F"/>
    <w:rsid w:val="693A0916"/>
    <w:rsid w:val="693A1063"/>
    <w:rsid w:val="694A7D65"/>
    <w:rsid w:val="69924EEA"/>
    <w:rsid w:val="69C51C85"/>
    <w:rsid w:val="6A2D2E68"/>
    <w:rsid w:val="6A76155C"/>
    <w:rsid w:val="6AC23EFF"/>
    <w:rsid w:val="6BBB63AB"/>
    <w:rsid w:val="6BF86FFE"/>
    <w:rsid w:val="6CE11FC6"/>
    <w:rsid w:val="6CFA78E4"/>
    <w:rsid w:val="6D3166AE"/>
    <w:rsid w:val="6D650494"/>
    <w:rsid w:val="6D992E57"/>
    <w:rsid w:val="6DEB6455"/>
    <w:rsid w:val="6E560AC9"/>
    <w:rsid w:val="6E7C2491"/>
    <w:rsid w:val="6E7F091A"/>
    <w:rsid w:val="6E9161A4"/>
    <w:rsid w:val="6F6F592C"/>
    <w:rsid w:val="6F8C36E8"/>
    <w:rsid w:val="6FC328C5"/>
    <w:rsid w:val="6FC90D1D"/>
    <w:rsid w:val="6FD22BB5"/>
    <w:rsid w:val="703D0172"/>
    <w:rsid w:val="708B4D16"/>
    <w:rsid w:val="709F224F"/>
    <w:rsid w:val="70BF176A"/>
    <w:rsid w:val="70CC0473"/>
    <w:rsid w:val="70D623DF"/>
    <w:rsid w:val="71276F1E"/>
    <w:rsid w:val="7142235A"/>
    <w:rsid w:val="71A32B42"/>
    <w:rsid w:val="71CF60EC"/>
    <w:rsid w:val="722C5F64"/>
    <w:rsid w:val="72BA3A76"/>
    <w:rsid w:val="72E5725D"/>
    <w:rsid w:val="72EF41BE"/>
    <w:rsid w:val="73B93BCA"/>
    <w:rsid w:val="746F434A"/>
    <w:rsid w:val="74767BEB"/>
    <w:rsid w:val="74873F5C"/>
    <w:rsid w:val="75C33EDF"/>
    <w:rsid w:val="75C9450A"/>
    <w:rsid w:val="761C7166"/>
    <w:rsid w:val="764246AE"/>
    <w:rsid w:val="765A116A"/>
    <w:rsid w:val="76724FD8"/>
    <w:rsid w:val="768D4F39"/>
    <w:rsid w:val="768F6B9A"/>
    <w:rsid w:val="76EB485A"/>
    <w:rsid w:val="77030A5E"/>
    <w:rsid w:val="777552DF"/>
    <w:rsid w:val="779124EE"/>
    <w:rsid w:val="77A91F94"/>
    <w:rsid w:val="77D352E0"/>
    <w:rsid w:val="77F3583A"/>
    <w:rsid w:val="78103196"/>
    <w:rsid w:val="78125ED2"/>
    <w:rsid w:val="78184B82"/>
    <w:rsid w:val="78475ADC"/>
    <w:rsid w:val="78775809"/>
    <w:rsid w:val="787F3FE0"/>
    <w:rsid w:val="78F9707A"/>
    <w:rsid w:val="7A1A411B"/>
    <w:rsid w:val="7A344ED2"/>
    <w:rsid w:val="7A4D3B6B"/>
    <w:rsid w:val="7A623E7A"/>
    <w:rsid w:val="7AD52B15"/>
    <w:rsid w:val="7AF83CFD"/>
    <w:rsid w:val="7B005E77"/>
    <w:rsid w:val="7B073E03"/>
    <w:rsid w:val="7B4D3E3F"/>
    <w:rsid w:val="7BD54F53"/>
    <w:rsid w:val="7C0A71A1"/>
    <w:rsid w:val="7C6D071B"/>
    <w:rsid w:val="7D21239F"/>
    <w:rsid w:val="7D595F51"/>
    <w:rsid w:val="7DF96A70"/>
    <w:rsid w:val="7E2257DD"/>
    <w:rsid w:val="7E2422A7"/>
    <w:rsid w:val="7E817F2D"/>
    <w:rsid w:val="7ED428A5"/>
    <w:rsid w:val="7F595D7D"/>
    <w:rsid w:val="7FE010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宋体" w:eastAsia="宋体" w:cstheme="minorBidi"/>
      <w:kern w:val="2"/>
      <w:sz w:val="24"/>
      <w:szCs w:val="22"/>
      <w:lang w:val="en-US" w:eastAsia="zh-CN" w:bidi="ar-SA"/>
    </w:rPr>
  </w:style>
  <w:style w:type="paragraph" w:styleId="2">
    <w:name w:val="heading 1"/>
    <w:basedOn w:val="1"/>
    <w:next w:val="1"/>
    <w:link w:val="22"/>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autoRedefine/>
    <w:semiHidden/>
    <w:unhideWhenUsed/>
    <w:qFormat/>
    <w:uiPriority w:val="9"/>
    <w:pPr>
      <w:keepNext/>
      <w:keepLines/>
      <w:spacing w:before="260" w:after="260" w:line="416" w:lineRule="auto"/>
      <w:outlineLvl w:val="2"/>
    </w:pPr>
    <w:rPr>
      <w:b/>
      <w:bCs/>
      <w:sz w:val="32"/>
      <w:szCs w:val="32"/>
    </w:rPr>
  </w:style>
  <w:style w:type="paragraph" w:styleId="5">
    <w:name w:val="heading 5"/>
    <w:basedOn w:val="1"/>
    <w:next w:val="1"/>
    <w:autoRedefine/>
    <w:qFormat/>
    <w:uiPriority w:val="0"/>
    <w:pPr>
      <w:keepNext/>
      <w:keepLines/>
      <w:spacing w:before="280" w:after="290" w:line="376" w:lineRule="auto"/>
      <w:outlineLvl w:val="4"/>
    </w:pPr>
    <w:rPr>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next w:val="7"/>
    <w:autoRedefine/>
    <w:qFormat/>
    <w:uiPriority w:val="1"/>
    <w:pPr>
      <w:ind w:left="305"/>
    </w:pPr>
    <w:rPr>
      <w:rFonts w:ascii="微软雅黑" w:hAnsi="微软雅黑" w:eastAsia="微软雅黑" w:cs="微软雅黑"/>
      <w:sz w:val="24"/>
      <w:szCs w:val="24"/>
      <w:lang w:val="zh-CN" w:eastAsia="zh-CN" w:bidi="zh-CN"/>
    </w:rPr>
  </w:style>
  <w:style w:type="paragraph" w:styleId="7">
    <w:name w:val="Body Text 2"/>
    <w:basedOn w:val="1"/>
    <w:autoRedefine/>
    <w:qFormat/>
    <w:uiPriority w:val="0"/>
    <w:pPr>
      <w:spacing w:after="120" w:afterLines="0" w:afterAutospacing="0" w:line="480" w:lineRule="auto"/>
    </w:pPr>
  </w:style>
  <w:style w:type="paragraph" w:styleId="8">
    <w:name w:val="Date"/>
    <w:basedOn w:val="1"/>
    <w:next w:val="1"/>
    <w:link w:val="36"/>
    <w:autoRedefine/>
    <w:semiHidden/>
    <w:unhideWhenUsed/>
    <w:qFormat/>
    <w:uiPriority w:val="99"/>
    <w:pPr>
      <w:ind w:left="100" w:leftChars="2500"/>
    </w:pPr>
  </w:style>
  <w:style w:type="paragraph" w:styleId="9">
    <w:name w:val="Body Text Indent 2"/>
    <w:basedOn w:val="1"/>
    <w:autoRedefine/>
    <w:qFormat/>
    <w:uiPriority w:val="0"/>
    <w:pPr>
      <w:spacing w:after="120" w:afterLines="0" w:line="480" w:lineRule="auto"/>
      <w:ind w:left="420" w:leftChars="200"/>
    </w:pPr>
  </w:style>
  <w:style w:type="paragraph" w:styleId="10">
    <w:name w:val="Balloon Text"/>
    <w:basedOn w:val="1"/>
    <w:link w:val="33"/>
    <w:autoRedefine/>
    <w:semiHidden/>
    <w:unhideWhenUsed/>
    <w:qFormat/>
    <w:uiPriority w:val="99"/>
    <w:rPr>
      <w:sz w:val="18"/>
      <w:szCs w:val="18"/>
    </w:rPr>
  </w:style>
  <w:style w:type="paragraph" w:styleId="11">
    <w:name w:val="footer"/>
    <w:basedOn w:val="1"/>
    <w:link w:val="26"/>
    <w:autoRedefine/>
    <w:unhideWhenUsed/>
    <w:qFormat/>
    <w:uiPriority w:val="99"/>
    <w:pPr>
      <w:tabs>
        <w:tab w:val="center" w:pos="4153"/>
        <w:tab w:val="right" w:pos="8306"/>
      </w:tabs>
      <w:snapToGrid w:val="0"/>
      <w:jc w:val="left"/>
    </w:pPr>
    <w:rPr>
      <w:sz w:val="18"/>
      <w:szCs w:val="18"/>
    </w:rPr>
  </w:style>
  <w:style w:type="paragraph" w:styleId="12">
    <w:name w:val="header"/>
    <w:basedOn w:val="1"/>
    <w:link w:val="2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style>
  <w:style w:type="paragraph" w:styleId="14">
    <w:name w:val="toc 2"/>
    <w:basedOn w:val="1"/>
    <w:next w:val="1"/>
    <w:autoRedefine/>
    <w:unhideWhenUsed/>
    <w:qFormat/>
    <w:uiPriority w:val="39"/>
    <w:pPr>
      <w:ind w:left="420" w:leftChars="200"/>
    </w:pPr>
  </w:style>
  <w:style w:type="paragraph" w:styleId="15">
    <w:name w:val="Normal (Web)"/>
    <w:basedOn w:val="1"/>
    <w:autoRedefine/>
    <w:semiHidden/>
    <w:unhideWhenUsed/>
    <w:qFormat/>
    <w:uiPriority w:val="99"/>
    <w:pPr>
      <w:widowControl/>
      <w:spacing w:before="100" w:beforeAutospacing="1" w:after="100" w:afterAutospacing="1"/>
      <w:jc w:val="left"/>
    </w:pPr>
    <w:rPr>
      <w:rFonts w:cs="宋体"/>
      <w:kern w:val="0"/>
      <w:szCs w:val="24"/>
    </w:rPr>
  </w:style>
  <w:style w:type="paragraph" w:styleId="16">
    <w:name w:val="Title"/>
    <w:basedOn w:val="1"/>
    <w:next w:val="1"/>
    <w:autoRedefine/>
    <w:qFormat/>
    <w:uiPriority w:val="0"/>
    <w:pPr>
      <w:widowControl w:val="0"/>
      <w:spacing w:before="240" w:after="60"/>
      <w:jc w:val="center"/>
      <w:outlineLvl w:val="0"/>
    </w:pPr>
    <w:rPr>
      <w:rFonts w:ascii="Cambria" w:hAnsi="Cambria" w:cs="Cambria"/>
      <w:b/>
      <w:bCs/>
      <w:sz w:val="32"/>
      <w:szCs w:val="32"/>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autoRedefine/>
    <w:unhideWhenUsed/>
    <w:qFormat/>
    <w:uiPriority w:val="99"/>
    <w:rPr>
      <w:color w:val="0563C1" w:themeColor="hyperlink"/>
      <w:u w:val="single"/>
      <w14:textFill>
        <w14:solidFill>
          <w14:schemeClr w14:val="hlink"/>
        </w14:solidFill>
      </w14:textFill>
    </w:rPr>
  </w:style>
  <w:style w:type="paragraph" w:customStyle="1" w:styleId="21">
    <w:name w:val="引文目录1"/>
    <w:basedOn w:val="1"/>
    <w:next w:val="1"/>
    <w:autoRedefine/>
    <w:qFormat/>
    <w:uiPriority w:val="0"/>
    <w:pPr>
      <w:ind w:left="420" w:leftChars="200"/>
    </w:pPr>
    <w:rPr>
      <w:rFonts w:ascii="Calibri" w:hAnsi="Calibri" w:eastAsia="宋体" w:cs="Times New Roman"/>
      <w:szCs w:val="32"/>
    </w:rPr>
  </w:style>
  <w:style w:type="character" w:customStyle="1" w:styleId="22">
    <w:name w:val="标题 1 Char"/>
    <w:basedOn w:val="19"/>
    <w:link w:val="2"/>
    <w:autoRedefine/>
    <w:qFormat/>
    <w:uiPriority w:val="9"/>
    <w:rPr>
      <w:b/>
      <w:bCs/>
      <w:kern w:val="44"/>
      <w:sz w:val="44"/>
      <w:szCs w:val="44"/>
    </w:rPr>
  </w:style>
  <w:style w:type="paragraph" w:styleId="23">
    <w:name w:val="No Spacing"/>
    <w:link w:val="24"/>
    <w:autoRedefine/>
    <w:qFormat/>
    <w:uiPriority w:val="1"/>
    <w:rPr>
      <w:rFonts w:asciiTheme="minorHAnsi" w:hAnsiTheme="minorHAnsi" w:eastAsiaTheme="minorEastAsia" w:cstheme="minorBidi"/>
      <w:sz w:val="22"/>
      <w:szCs w:val="22"/>
      <w:lang w:val="en-US" w:eastAsia="zh-CN" w:bidi="ar-SA"/>
    </w:rPr>
  </w:style>
  <w:style w:type="character" w:customStyle="1" w:styleId="24">
    <w:name w:val="无间隔 Char"/>
    <w:basedOn w:val="19"/>
    <w:link w:val="23"/>
    <w:autoRedefine/>
    <w:qFormat/>
    <w:uiPriority w:val="1"/>
    <w:rPr>
      <w:rFonts w:asciiTheme="minorHAnsi" w:hAnsiTheme="minorHAnsi" w:eastAsiaTheme="minorEastAsia"/>
      <w:kern w:val="0"/>
      <w:sz w:val="22"/>
    </w:rPr>
  </w:style>
  <w:style w:type="character" w:customStyle="1" w:styleId="25">
    <w:name w:val="页眉 Char"/>
    <w:basedOn w:val="19"/>
    <w:link w:val="12"/>
    <w:autoRedefine/>
    <w:qFormat/>
    <w:uiPriority w:val="99"/>
    <w:rPr>
      <w:sz w:val="18"/>
      <w:szCs w:val="18"/>
    </w:rPr>
  </w:style>
  <w:style w:type="character" w:customStyle="1" w:styleId="26">
    <w:name w:val="页脚 Char"/>
    <w:basedOn w:val="19"/>
    <w:link w:val="11"/>
    <w:autoRedefine/>
    <w:qFormat/>
    <w:uiPriority w:val="99"/>
    <w:rPr>
      <w:sz w:val="18"/>
      <w:szCs w:val="18"/>
    </w:rPr>
  </w:style>
  <w:style w:type="character" w:customStyle="1" w:styleId="27">
    <w:name w:val="标题 2 Char"/>
    <w:basedOn w:val="19"/>
    <w:link w:val="3"/>
    <w:autoRedefine/>
    <w:qFormat/>
    <w:uiPriority w:val="9"/>
    <w:rPr>
      <w:rFonts w:asciiTheme="majorHAnsi" w:hAnsiTheme="majorHAnsi" w:eastAsiaTheme="majorEastAsia" w:cstheme="majorBidi"/>
      <w:b/>
      <w:bCs/>
      <w:sz w:val="32"/>
      <w:szCs w:val="32"/>
    </w:rPr>
  </w:style>
  <w:style w:type="character" w:customStyle="1" w:styleId="28">
    <w:name w:val="font121"/>
    <w:basedOn w:val="19"/>
    <w:autoRedefine/>
    <w:qFormat/>
    <w:uiPriority w:val="0"/>
    <w:rPr>
      <w:rFonts w:hint="eastAsia" w:ascii="宋体" w:hAnsi="宋体" w:eastAsia="宋体"/>
      <w:b/>
      <w:bCs/>
      <w:color w:val="auto"/>
      <w:sz w:val="20"/>
      <w:szCs w:val="20"/>
      <w:u w:val="none"/>
    </w:rPr>
  </w:style>
  <w:style w:type="character" w:customStyle="1" w:styleId="29">
    <w:name w:val="font111"/>
    <w:basedOn w:val="19"/>
    <w:autoRedefine/>
    <w:qFormat/>
    <w:uiPriority w:val="0"/>
    <w:rPr>
      <w:rFonts w:hint="eastAsia" w:ascii="宋体" w:hAnsi="宋体" w:eastAsia="宋体"/>
      <w:b/>
      <w:bCs/>
      <w:color w:val="auto"/>
      <w:sz w:val="20"/>
      <w:szCs w:val="20"/>
      <w:u w:val="none"/>
    </w:rPr>
  </w:style>
  <w:style w:type="character" w:customStyle="1" w:styleId="30">
    <w:name w:val="font101"/>
    <w:basedOn w:val="19"/>
    <w:autoRedefine/>
    <w:qFormat/>
    <w:uiPriority w:val="0"/>
    <w:rPr>
      <w:rFonts w:hint="eastAsia" w:ascii="宋体" w:hAnsi="宋体" w:eastAsia="宋体"/>
      <w:color w:val="auto"/>
      <w:sz w:val="20"/>
      <w:szCs w:val="20"/>
      <w:u w:val="none"/>
    </w:rPr>
  </w:style>
  <w:style w:type="paragraph" w:styleId="31">
    <w:name w:val="List Paragraph"/>
    <w:basedOn w:val="1"/>
    <w:autoRedefine/>
    <w:qFormat/>
    <w:uiPriority w:val="34"/>
    <w:pPr>
      <w:ind w:firstLine="420" w:firstLineChars="200"/>
    </w:pPr>
  </w:style>
  <w:style w:type="paragraph" w:customStyle="1" w:styleId="32">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3">
    <w:name w:val="批注框文本 Char"/>
    <w:basedOn w:val="19"/>
    <w:link w:val="10"/>
    <w:autoRedefine/>
    <w:semiHidden/>
    <w:qFormat/>
    <w:uiPriority w:val="99"/>
    <w:rPr>
      <w:sz w:val="18"/>
      <w:szCs w:val="18"/>
    </w:rPr>
  </w:style>
  <w:style w:type="character" w:customStyle="1" w:styleId="34">
    <w:name w:val="标题 3 Char"/>
    <w:basedOn w:val="19"/>
    <w:link w:val="4"/>
    <w:autoRedefine/>
    <w:semiHidden/>
    <w:qFormat/>
    <w:uiPriority w:val="9"/>
    <w:rPr>
      <w:b/>
      <w:bCs/>
      <w:sz w:val="32"/>
      <w:szCs w:val="32"/>
    </w:rPr>
  </w:style>
  <w:style w:type="paragraph" w:customStyle="1" w:styleId="35">
    <w:name w:val="无间隔1"/>
    <w:autoRedefine/>
    <w:qFormat/>
    <w:uiPriority w:val="0"/>
    <w:pPr>
      <w:widowControl w:val="0"/>
      <w:adjustRightInd w:val="0"/>
      <w:snapToGrid w:val="0"/>
      <w:ind w:firstLine="200" w:firstLineChars="200"/>
      <w:jc w:val="both"/>
    </w:pPr>
    <w:rPr>
      <w:rFonts w:ascii="Times New Roman" w:hAnsi="Times New Roman" w:eastAsia="华文细黑" w:cs="Times New Roman"/>
      <w:kern w:val="2"/>
      <w:sz w:val="24"/>
      <w:szCs w:val="24"/>
      <w:lang w:val="en-US" w:eastAsia="zh-CN" w:bidi="ar-SA"/>
    </w:rPr>
  </w:style>
  <w:style w:type="character" w:customStyle="1" w:styleId="36">
    <w:name w:val="日期 Char"/>
    <w:basedOn w:val="19"/>
    <w:link w:val="8"/>
    <w:autoRedefine/>
    <w:semiHidden/>
    <w:qFormat/>
    <w:uiPriority w:val="99"/>
    <w:rPr>
      <w:rFonts w:ascii="宋体" w:hAnsi="宋体" w:cstheme="minorBidi"/>
      <w:kern w:val="2"/>
      <w:sz w:val="24"/>
      <w:szCs w:val="22"/>
    </w:rPr>
  </w:style>
  <w:style w:type="paragraph" w:customStyle="1" w:styleId="37">
    <w:name w:val="样式 样式 首行缩进:  0.74 厘米 + 首行缩进:  2 字符"/>
    <w:basedOn w:val="1"/>
    <w:autoRedefine/>
    <w:qFormat/>
    <w:uiPriority w:val="0"/>
    <w:pPr>
      <w:spacing w:before="120" w:beforeLines="0" w:after="120" w:afterLines="0" w:line="400" w:lineRule="exact"/>
      <w:ind w:firstLine="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F01430-6E93-4EFA-B942-4BEEF126C9D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7329</Words>
  <Characters>8611</Characters>
  <Lines>1</Lines>
  <Paragraphs>1</Paragraphs>
  <TotalTime>4</TotalTime>
  <ScaleCrop>false</ScaleCrop>
  <LinksUpToDate>false</LinksUpToDate>
  <CharactersWithSpaces>8731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2018-08-20T08:49:00Z</dcterms:created>
  <dc:creator>Admin</dc:creator>
  <cp:lastModifiedBy>lenovo</cp:lastModifiedBy>
  <cp:lastPrinted>2024-04-15T07:39:00Z</cp:lastPrinted>
  <dcterms:modified xsi:type="dcterms:W3CDTF">2024-04-22T00:36:54Z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385C0213D5CB4317844E71FF3AA1056B_13</vt:lpwstr>
  </property>
</Properties>
</file>