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ED4C1">
      <w:pPr>
        <w:keepNext w:val="0"/>
        <w:keepLines w:val="0"/>
        <w:pageBreakBefore w:val="0"/>
        <w:widowControl/>
        <w:kinsoku/>
        <w:wordWrap/>
        <w:overflowPunct/>
        <w:topLinePunct w:val="0"/>
        <w:autoSpaceDE w:val="0"/>
        <w:autoSpaceDN w:val="0"/>
        <w:bidi w:val="0"/>
        <w:adjustRightInd w:val="0"/>
        <w:snapToGrid/>
        <w:spacing w:line="600" w:lineRule="exact"/>
        <w:ind w:left="420" w:leftChars="20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pPr>
    </w:p>
    <w:p w14:paraId="782D5C51">
      <w:pPr>
        <w:keepNext w:val="0"/>
        <w:keepLines w:val="0"/>
        <w:pageBreakBefore w:val="0"/>
        <w:widowControl/>
        <w:kinsoku/>
        <w:wordWrap/>
        <w:overflowPunct/>
        <w:topLinePunct w:val="0"/>
        <w:autoSpaceDE w:val="0"/>
        <w:autoSpaceDN w:val="0"/>
        <w:bidi w:val="0"/>
        <w:adjustRightInd w:val="0"/>
        <w:snapToGrid/>
        <w:spacing w:line="660" w:lineRule="exact"/>
        <w:ind w:left="0" w:leftChars="0" w:right="0" w:rightChars="0" w:firstLine="0" w:firstLineChars="0"/>
        <w:jc w:val="right"/>
        <w:textAlignment w:val="auto"/>
        <w:rPr>
          <w:rFonts w:hint="eastAsia" w:ascii="仿宋" w:hAnsi="仿宋" w:eastAsia="仿宋" w:cs="仿宋"/>
          <w:b w:val="0"/>
          <w:bCs w:val="0"/>
          <w:color w:val="000000" w:themeColor="text1"/>
          <w:spacing w:val="0"/>
          <w:kern w:val="0"/>
          <w:sz w:val="32"/>
          <w:szCs w:val="32"/>
          <w:lang w:val="en-US" w:eastAsia="zh-CN"/>
          <w14:textFill>
            <w14:solidFill>
              <w14:schemeClr w14:val="tx1"/>
            </w14:solidFill>
          </w14:textFill>
        </w:rPr>
      </w:pPr>
    </w:p>
    <w:p w14:paraId="70B3E862">
      <w:pPr>
        <w:keepNext w:val="0"/>
        <w:keepLines w:val="0"/>
        <w:pageBreakBefore w:val="0"/>
        <w:widowControl/>
        <w:kinsoku/>
        <w:wordWrap/>
        <w:overflowPunct/>
        <w:topLinePunct w:val="0"/>
        <w:autoSpaceDE w:val="0"/>
        <w:autoSpaceDN w:val="0"/>
        <w:bidi w:val="0"/>
        <w:adjustRightInd w:val="0"/>
        <w:snapToGrid/>
        <w:spacing w:line="660" w:lineRule="exact"/>
        <w:ind w:left="0" w:leftChars="0" w:right="0" w:rightChars="0" w:firstLine="0" w:firstLineChars="0"/>
        <w:jc w:val="right"/>
        <w:textAlignment w:val="auto"/>
        <w:rPr>
          <w:rFonts w:hint="eastAsia" w:ascii="仿宋" w:hAnsi="仿宋" w:eastAsia="仿宋" w:cs="仿宋"/>
          <w:b w:val="0"/>
          <w:bCs w:val="0"/>
          <w:color w:val="000000" w:themeColor="text1"/>
          <w:spacing w:val="0"/>
          <w:kern w:val="0"/>
          <w:sz w:val="32"/>
          <w:szCs w:val="32"/>
          <w:lang w:val="en-US" w:eastAsia="zh-CN"/>
          <w14:textFill>
            <w14:solidFill>
              <w14:schemeClr w14:val="tx1"/>
            </w14:solidFill>
          </w14:textFill>
        </w:rPr>
      </w:pPr>
      <w:bookmarkStart w:id="0" w:name="_GoBack"/>
      <w:bookmarkEnd w:id="0"/>
    </w:p>
    <w:p w14:paraId="2B519792">
      <w:pPr>
        <w:keepNext w:val="0"/>
        <w:keepLines w:val="0"/>
        <w:pageBreakBefore w:val="0"/>
        <w:widowControl/>
        <w:kinsoku/>
        <w:wordWrap/>
        <w:overflowPunct/>
        <w:topLinePunct w:val="0"/>
        <w:autoSpaceDE w:val="0"/>
        <w:autoSpaceDN w:val="0"/>
        <w:bidi w:val="0"/>
        <w:adjustRightInd w:val="0"/>
        <w:snapToGrid/>
        <w:spacing w:after="157" w:afterLines="50" w:line="620" w:lineRule="exact"/>
        <w:ind w:left="0" w:leftChars="0" w:right="0" w:rightChars="0" w:firstLine="0" w:firstLineChars="0"/>
        <w:jc w:val="center"/>
        <w:textAlignment w:val="auto"/>
        <w:rPr>
          <w:rFonts w:hint="eastAsia" w:ascii="楷体_GB2312" w:hAnsi="楷体_GB2312" w:eastAsia="楷体_GB2312" w:cs="楷体_GB2312"/>
          <w:b w:val="0"/>
          <w:bCs w:val="0"/>
          <w:color w:val="000000" w:themeColor="text1"/>
          <w:kern w:val="0"/>
          <w:sz w:val="44"/>
          <w:szCs w:val="44"/>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夏审管函</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〔2024〕122</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号</w:t>
      </w:r>
    </w:p>
    <w:p w14:paraId="1F05147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w w:val="90"/>
          <w:sz w:val="44"/>
          <w:szCs w:val="44"/>
          <w:lang w:val="en-US" w:eastAsia="zh-CN"/>
        </w:rPr>
      </w:pPr>
      <w:r>
        <w:rPr>
          <w:rFonts w:hint="eastAsia" w:ascii="方正小标宋简体" w:hAnsi="方正小标宋简体" w:eastAsia="方正小标宋简体" w:cs="方正小标宋简体"/>
          <w:b w:val="0"/>
          <w:bCs w:val="0"/>
          <w:w w:val="90"/>
          <w:sz w:val="44"/>
          <w:szCs w:val="44"/>
          <w:lang w:val="en-US" w:eastAsia="zh-CN"/>
        </w:rPr>
        <w:t>关于运城桐源生物科技有限公司年产食品</w:t>
      </w:r>
      <w:r>
        <w:rPr>
          <w:rFonts w:hint="eastAsia" w:ascii="方正小标宋简体" w:hAnsi="方正小标宋简体" w:eastAsia="方正小标宋简体" w:cs="方正小标宋简体"/>
          <w:b w:val="0"/>
          <w:bCs w:val="0"/>
          <w:sz w:val="44"/>
          <w:szCs w:val="44"/>
          <w:lang w:val="en-US" w:eastAsia="zh-CN"/>
        </w:rPr>
        <w:t>添加</w:t>
      </w:r>
      <w:r>
        <w:rPr>
          <w:rFonts w:hint="eastAsia" w:ascii="方正小标宋简体" w:hAnsi="方正小标宋简体" w:eastAsia="方正小标宋简体" w:cs="方正小标宋简体"/>
          <w:b w:val="0"/>
          <w:bCs w:val="0"/>
          <w:w w:val="90"/>
          <w:sz w:val="44"/>
          <w:szCs w:val="44"/>
          <w:lang w:val="en-US" w:eastAsia="zh-CN"/>
        </w:rPr>
        <w:t>剂日落黄300吨建设项目环境影响报告表的批复</w:t>
      </w:r>
    </w:p>
    <w:p w14:paraId="70BFBA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lang w:val="en-US" w:eastAsia="zh-CN"/>
        </w:rPr>
      </w:pPr>
    </w:p>
    <w:p w14:paraId="115E43E5">
      <w:pPr>
        <w:keepNext w:val="0"/>
        <w:keepLines w:val="0"/>
        <w:pageBreakBefore w:val="0"/>
        <w:widowControl w:val="0"/>
        <w:kinsoku/>
        <w:wordWrap/>
        <w:overflowPunct/>
        <w:topLinePunct w:val="0"/>
        <w:autoSpaceDE/>
        <w:autoSpaceDN/>
        <w:bidi w:val="0"/>
        <w:adjustRightInd/>
        <w:snapToGrid/>
        <w:spacing w:line="74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运城桐源生物科技有限公司：</w:t>
      </w:r>
    </w:p>
    <w:p w14:paraId="796B958C">
      <w:pPr>
        <w:keepNext w:val="0"/>
        <w:keepLines w:val="0"/>
        <w:pageBreakBefore w:val="0"/>
        <w:widowControl w:val="0"/>
        <w:kinsoku/>
        <w:wordWrap/>
        <w:overflowPunct/>
        <w:topLinePunct w:val="0"/>
        <w:autoSpaceDE/>
        <w:autoSpaceDN/>
        <w:bidi w:val="0"/>
        <w:adjustRightInd/>
        <w:snapToGrid/>
        <w:spacing w:line="7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你公司报送的《运城桐源生物科技有限公司年产食品添加剂日落黄300</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吨建设项目环境影响报告表》（以下简称“报告表”）及报批申请资料收悉。</w:t>
      </w:r>
    </w:p>
    <w:p w14:paraId="3BD2ECA7">
      <w:pPr>
        <w:keepNext w:val="0"/>
        <w:keepLines w:val="0"/>
        <w:pageBreakBefore w:val="0"/>
        <w:widowControl w:val="0"/>
        <w:kinsoku/>
        <w:wordWrap/>
        <w:overflowPunct/>
        <w:topLinePunct w:val="0"/>
        <w:autoSpaceDE/>
        <w:autoSpaceDN/>
        <w:bidi w:val="0"/>
        <w:adjustRightInd/>
        <w:snapToGrid/>
        <w:spacing w:line="7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报告表”内容，拟建项目位于山西省运城市夏县水头镇坡底村（原夏县冷藏保鲜公司院内）。建设规模：年产食品添加剂日落黄300吨；购置溶解釜、反应釜等设备，建设燃气锅炉一台，冷却设施一套，供电、供水等公用工程；配套建设废气、废水处理设施，噪声、固体废物污染防治设施等。项目总投资1000万元，其中环保投资100万元。根据《中华人民共和国环境影响评价法》等有关法律法规规定，经研究，现批复如下：</w:t>
      </w:r>
    </w:p>
    <w:p w14:paraId="4F2B1724">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你公司在项目设计、建设和运营管理中，应认真全面执行生态环境保护主体责任，重点做好以下工作：</w:t>
      </w:r>
    </w:p>
    <w:p w14:paraId="4B24DE04">
      <w:pPr>
        <w:keepNext w:val="0"/>
        <w:keepLines w:val="0"/>
        <w:pageBreakBefore w:val="0"/>
        <w:widowControl w:val="0"/>
        <w:kinsoku/>
        <w:wordWrap/>
        <w:overflowPunct/>
        <w:topLinePunct w:val="0"/>
        <w:autoSpaceDE/>
        <w:autoSpaceDN/>
        <w:bidi w:val="0"/>
        <w:adjustRightInd/>
        <w:snapToGrid/>
        <w:spacing w:line="700" w:lineRule="exact"/>
        <w:ind w:firstLine="679" w:firstLineChars="200"/>
        <w:jc w:val="both"/>
        <w:textAlignment w:val="auto"/>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9"/>
          <w:sz w:val="32"/>
          <w:szCs w:val="32"/>
          <w14:textFill>
            <w14:solidFill>
              <w14:schemeClr w14:val="tx1"/>
            </w14:solidFill>
          </w14:textFill>
        </w:rPr>
        <w:t>1</w:t>
      </w:r>
      <w:r>
        <w:rPr>
          <w:rFonts w:hint="eastAsia" w:ascii="仿宋_GB2312" w:hAnsi="仿宋_GB2312" w:eastAsia="仿宋_GB2312" w:cs="仿宋_GB2312"/>
          <w:b/>
          <w:bCs/>
          <w:color w:val="000000" w:themeColor="text1"/>
          <w:spacing w:val="9"/>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9"/>
          <w:sz w:val="32"/>
          <w:szCs w:val="32"/>
          <w14:textFill>
            <w14:solidFill>
              <w14:schemeClr w14:val="tx1"/>
            </w14:solidFill>
          </w14:textFill>
        </w:rPr>
        <w:t>严格落实大气污染防治措施。营运期间，</w:t>
      </w:r>
      <w:r>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t>投料时，废气经布袋除尘器处理后通过15米高排气筒排放；反应釜废气经两级碱液喷淋塔处理后通过15米高排气筒排放；闪蒸机废气经旋风分离器和布袋除尘器处理后，通过15米高排气筒排放；污水处理站的恶臭气体经活性炭吸附处理后通过15米高排气筒排放；燃气锅炉采用低氮燃烧技术，烟气经15米高排气筒排放；盐酸储罐废气经两级降膜吸收塔处理后排放。投料和闪蒸机产生的颗粒物、反应釜产生的氯化氢和氮氧化物执行《大气污染物综合排放标准》（GB16297-1996）排放限值；污水处理站的恶臭气体执行《恶臭污染物排放标准》（GB14554-93）排放限值；燃气锅炉烟气执行《锅炉大气污染物排放标准》（DB14/1929-2019）排放限值。</w:t>
      </w:r>
    </w:p>
    <w:p w14:paraId="40CAFEAE">
      <w:pPr>
        <w:keepNext w:val="0"/>
        <w:keepLines w:val="0"/>
        <w:pageBreakBefore w:val="0"/>
        <w:widowControl w:val="0"/>
        <w:kinsoku/>
        <w:wordWrap/>
        <w:overflowPunct/>
        <w:topLinePunct w:val="0"/>
        <w:autoSpaceDE/>
        <w:autoSpaceDN/>
        <w:bidi w:val="0"/>
        <w:adjustRightInd/>
        <w:snapToGrid/>
        <w:spacing w:line="700" w:lineRule="exact"/>
        <w:ind w:firstLine="679" w:firstLineChars="200"/>
        <w:jc w:val="both"/>
        <w:textAlignment w:val="auto"/>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9"/>
          <w:sz w:val="32"/>
          <w:szCs w:val="32"/>
          <w:lang w:val="en-US" w:eastAsia="zh-CN"/>
          <w14:textFill>
            <w14:solidFill>
              <w14:schemeClr w14:val="tx1"/>
            </w14:solidFill>
          </w14:textFill>
        </w:rPr>
        <w:t xml:space="preserve">2. </w:t>
      </w:r>
      <w:r>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t>严格落实水污染防治措施。营运期间，溶解、偶合、盐析、打浆、罐体清洗等工艺水、碱液喷淋塔排水和软水制备系统排水等含盐量高的废水经三效蒸发器处理，产生的冷凝水进入生产工序循环使用；生活污水、冷却循环系统排水、锅炉排水、车间地面冲洗水等废水经厂区污水处理站处理后作为地面冲洗水使用；初期雨水沉淀预处理后，再经厂区污水处理站处理，可作为车间地面冲洗水使用。</w:t>
      </w:r>
    </w:p>
    <w:p w14:paraId="4A8DB807">
      <w:pPr>
        <w:keepNext w:val="0"/>
        <w:keepLines w:val="0"/>
        <w:pageBreakBefore w:val="0"/>
        <w:widowControl w:val="0"/>
        <w:kinsoku/>
        <w:wordWrap/>
        <w:overflowPunct/>
        <w:topLinePunct w:val="0"/>
        <w:autoSpaceDE/>
        <w:autoSpaceDN/>
        <w:bidi w:val="0"/>
        <w:adjustRightInd/>
        <w:snapToGrid/>
        <w:spacing w:line="700" w:lineRule="exact"/>
        <w:ind w:firstLine="679" w:firstLineChars="200"/>
        <w:jc w:val="both"/>
        <w:textAlignment w:val="auto"/>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9"/>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t xml:space="preserve"> 严格落实噪声污染防治措施。选用低噪设备，基础减振，部分设备采取厂房隔声措施，加强设备维护保养，加强厂区管理等，厂界噪声须满足《工业企业厂界环境噪声排放标准》（GB12348-2008）中2类标准限值要求。</w:t>
      </w:r>
    </w:p>
    <w:p w14:paraId="3F2B2B80">
      <w:pPr>
        <w:keepNext w:val="0"/>
        <w:keepLines w:val="0"/>
        <w:pageBreakBefore w:val="0"/>
        <w:widowControl w:val="0"/>
        <w:kinsoku/>
        <w:wordWrap/>
        <w:overflowPunct/>
        <w:topLinePunct w:val="0"/>
        <w:autoSpaceDE/>
        <w:autoSpaceDN/>
        <w:bidi w:val="0"/>
        <w:adjustRightInd/>
        <w:snapToGrid/>
        <w:spacing w:line="700" w:lineRule="exact"/>
        <w:ind w:firstLine="687"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sz w:val="32"/>
          <w:szCs w:val="32"/>
          <w14:textFill>
            <w14:solidFill>
              <w14:schemeClr w14:val="tx1"/>
            </w14:solidFill>
          </w14:textFill>
        </w:rPr>
        <w:t>4</w:t>
      </w:r>
      <w:r>
        <w:rPr>
          <w:rFonts w:hint="eastAsia" w:ascii="仿宋_GB2312" w:hAnsi="仿宋_GB2312" w:eastAsia="仿宋_GB2312" w:cs="仿宋_GB2312"/>
          <w:b/>
          <w:bCs/>
          <w:color w:val="000000" w:themeColor="text1"/>
          <w:spacing w:val="1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32"/>
          <w14:textFill>
            <w14:solidFill>
              <w14:schemeClr w14:val="tx1"/>
            </w14:solidFill>
          </w14:textFill>
        </w:rPr>
        <w:t>严格落实固体废物污染防治措施。运营期</w:t>
      </w:r>
      <w:r>
        <w:rPr>
          <w:rFonts w:hint="eastAsia" w:ascii="仿宋_GB2312" w:hAnsi="仿宋_GB2312" w:eastAsia="仿宋_GB2312" w:cs="仿宋_GB2312"/>
          <w:color w:val="000000" w:themeColor="text1"/>
          <w:spacing w:val="10"/>
          <w:sz w:val="32"/>
          <w:szCs w:val="32"/>
          <w14:textFill>
            <w14:solidFill>
              <w14:schemeClr w14:val="tx1"/>
            </w14:solidFill>
          </w14:textFill>
        </w:rPr>
        <w:t>间，生活垃圾</w:t>
      </w:r>
      <w:r>
        <w:rPr>
          <w:rFonts w:hint="eastAsia" w:ascii="仿宋_GB2312" w:hAnsi="仿宋_GB2312" w:eastAsia="仿宋_GB2312" w:cs="仿宋_GB2312"/>
          <w:color w:val="000000" w:themeColor="text1"/>
          <w:spacing w:val="5"/>
          <w:sz w:val="32"/>
          <w:szCs w:val="32"/>
          <w14:textFill>
            <w14:solidFill>
              <w14:schemeClr w14:val="tx1"/>
            </w14:solidFill>
          </w14:textFill>
        </w:rPr>
        <w:t>收集后定期运往环卫部门指定地点；废棉纱、废矿物油、 废油桶、废活性炭等危险废物</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暂存于</w:t>
      </w:r>
      <w:r>
        <w:rPr>
          <w:rFonts w:hint="eastAsia" w:ascii="仿宋_GB2312" w:hAnsi="仿宋_GB2312" w:eastAsia="仿宋_GB2312" w:cs="仿宋_GB2312"/>
          <w:color w:val="000000" w:themeColor="text1"/>
          <w:spacing w:val="5"/>
          <w:sz w:val="32"/>
          <w:szCs w:val="32"/>
          <w14:textFill>
            <w14:solidFill>
              <w14:schemeClr w14:val="tx1"/>
            </w14:solidFill>
          </w14:textFill>
        </w:rPr>
        <w:t>危废贮存</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库</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14:textFill>
            <w14:solidFill>
              <w14:schemeClr w14:val="tx1"/>
            </w14:solidFill>
          </w14:textFill>
        </w:rPr>
        <w:t>集中送有资质单位处理</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14:textFill>
            <w14:solidFill>
              <w14:schemeClr w14:val="tx1"/>
            </w14:solidFill>
          </w14:textFill>
        </w:rPr>
        <w:t>废盐、釜渣、污水处理站</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污泥</w:t>
      </w:r>
      <w:r>
        <w:rPr>
          <w:rFonts w:hint="eastAsia" w:ascii="仿宋_GB2312" w:hAnsi="仿宋_GB2312" w:eastAsia="仿宋_GB2312" w:cs="仿宋_GB2312"/>
          <w:color w:val="000000" w:themeColor="text1"/>
          <w:spacing w:val="5"/>
          <w:sz w:val="32"/>
          <w:szCs w:val="32"/>
          <w14:textFill>
            <w14:solidFill>
              <w14:schemeClr w14:val="tx1"/>
            </w14:solidFill>
          </w14:textFill>
        </w:rPr>
        <w:t>暂按危险废物处置，生产后</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应及时</w:t>
      </w:r>
      <w:r>
        <w:rPr>
          <w:rFonts w:hint="eastAsia" w:ascii="仿宋_GB2312" w:hAnsi="仿宋_GB2312" w:eastAsia="仿宋_GB2312" w:cs="仿宋_GB2312"/>
          <w:color w:val="000000" w:themeColor="text1"/>
          <w:spacing w:val="5"/>
          <w:sz w:val="32"/>
          <w:szCs w:val="32"/>
          <w14:textFill>
            <w14:solidFill>
              <w14:schemeClr w14:val="tx1"/>
            </w14:solidFill>
          </w14:textFill>
        </w:rPr>
        <w:t>进行固废属性鉴定，若确定为一般工业固体废物，则按“报告表”中一般固体相关要求处置及管理。废反渗透膜收集后由生产厂家回收再生。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一般固废贮存、处置过程执行《一般工业固体废物贮存和填埋污染控制标准》（GB18599-2020）的有关规定；危险废物执行《危险废物贮存污染控制标准》（GB 18597—2023）的有关规定。</w:t>
      </w:r>
    </w:p>
    <w:p w14:paraId="643F840D">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严格落实地下水和土壤污染防治措施。落实</w:t>
      </w:r>
      <w:r>
        <w:rPr>
          <w:rFonts w:hint="eastAsia" w:ascii="仿宋_GB2312" w:hAnsi="仿宋_GB2312" w:eastAsia="仿宋_GB2312" w:cs="仿宋_GB2312"/>
          <w:color w:val="000000" w:themeColor="text1"/>
          <w:spacing w:val="5"/>
          <w:sz w:val="32"/>
          <w:szCs w:val="32"/>
          <w14:textFill>
            <w14:solidFill>
              <w14:schemeClr w14:val="tx1"/>
            </w14:solidFill>
          </w14:textFill>
        </w:rPr>
        <w:t>“报告表”中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出的分区防渗措施；危险废物贮存库、碱液、盐酸储罐区、碱液喷淋塔区、事故水池、污水处理站等区域进行重点防渗处理；生产设备装置区、原料库、成品库、锅炉房、初期雨水池等区域进行一般防渗处理；厂内其它区域进行简单防渗处理；按照要求制定环境监测计划并严格落实。</w:t>
      </w:r>
    </w:p>
    <w:p w14:paraId="1F205F60">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color w:val="000000" w:themeColor="text1"/>
          <w:w w:val="9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强化环境风险防范和应急措施。加强对危险物质、风险装置等环节和部位的设计、监控和运行管理，落实环境风险防范措施和应急预案，</w:t>
      </w:r>
      <w:r>
        <w:rPr>
          <w:rFonts w:hint="eastAsia" w:ascii="仿宋_GB2312" w:hAnsi="仿宋_GB2312" w:eastAsia="仿宋_GB2312" w:cs="仿宋_GB2312"/>
          <w:color w:val="000000" w:themeColor="text1"/>
          <w:w w:val="90"/>
          <w:sz w:val="32"/>
          <w:szCs w:val="32"/>
          <w:lang w:val="en-US" w:eastAsia="zh-CN"/>
          <w14:textFill>
            <w14:solidFill>
              <w14:schemeClr w14:val="tx1"/>
            </w14:solidFill>
          </w14:textFill>
        </w:rPr>
        <w:t>定期进行应急培训和演练，有效防范和应对环境风险。</w:t>
      </w:r>
    </w:p>
    <w:p w14:paraId="386432C6">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程建设应严格执行环境保护设施与主体工程同时设计、同时施工、同时投入使用的环境保护“三同时”制度。项目建成后，必须严格执行排污许可制度，在发生实际排污行为前申领排污许可证，及时组织竣工环保验收，并公开项目有关信息，主动接受社会监督。</w:t>
      </w:r>
    </w:p>
    <w:p w14:paraId="0BB029CA">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color w:val="000000" w:themeColor="text1"/>
          <w:w w:val="90"/>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根据《运城市生态环境局夏县分局关于“运城桐源生物科技有限公司年产食品添加剂日落黄300吨建设项目”污染物排放总量指标的审核意见》，核定该项目总量指标为：</w:t>
      </w:r>
      <w:r>
        <w:rPr>
          <w:rFonts w:hint="eastAsia" w:ascii="仿宋_GB2312" w:hAnsi="仿宋_GB2312" w:eastAsia="仿宋_GB2312" w:cs="仿宋_GB2312"/>
          <w:color w:val="000000" w:themeColor="text1"/>
          <w:w w:val="90"/>
          <w:sz w:val="32"/>
          <w:szCs w:val="32"/>
          <w:lang w:val="en-US" w:eastAsia="zh-CN"/>
          <w14:textFill>
            <w14:solidFill>
              <w14:schemeClr w14:val="tx1"/>
            </w14:solidFill>
          </w14:textFill>
        </w:rPr>
        <w:t>颗粒物0.1吨/年、二氧化硫0.001吨/年、氮氧化物0.51吨/年。</w:t>
      </w:r>
    </w:p>
    <w:p w14:paraId="286F5647">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环境影响报告表经批准后，项目的性质、规模、地点、采用的生产工艺或者防治污染、防止生态破坏的措施发生重大变动的，或自批复之日起超过五年才决定开工建设的，须按《中华人民共和国环境影响评价法》和《建设项目环境保护管理条例》的规定重新报批、审核项目环境影响评价文件。</w:t>
      </w:r>
    </w:p>
    <w:p w14:paraId="7503957C">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夏县生态环境分局负责该项目的日常环境监管工作。</w:t>
      </w:r>
    </w:p>
    <w:p w14:paraId="5F62209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458B83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E153FC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D97D0D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3A3672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2BFFEB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F75FD1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F7F500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916A03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7DF0DB5">
      <w:pPr>
        <w:keepNext w:val="0"/>
        <w:keepLines w:val="0"/>
        <w:pageBreakBefore w:val="0"/>
        <w:widowControl w:val="0"/>
        <w:kinsoku/>
        <w:wordWrap/>
        <w:overflowPunct/>
        <w:topLinePunct w:val="0"/>
        <w:autoSpaceDE/>
        <w:autoSpaceDN/>
        <w:bidi w:val="0"/>
        <w:adjustRightInd/>
        <w:snapToGrid/>
        <w:ind w:firstLine="4480" w:firstLineChars="14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夏县行政审批服务管理局</w:t>
      </w:r>
    </w:p>
    <w:p w14:paraId="6F53B8EA">
      <w:pPr>
        <w:keepNext w:val="0"/>
        <w:keepLines w:val="0"/>
        <w:pageBreakBefore w:val="0"/>
        <w:widowControl w:val="0"/>
        <w:kinsoku/>
        <w:wordWrap/>
        <w:overflowPunct/>
        <w:topLinePunct w:val="0"/>
        <w:autoSpaceDE/>
        <w:autoSpaceDN/>
        <w:bidi w:val="0"/>
        <w:adjustRightInd/>
        <w:snapToGrid/>
        <w:ind w:firstLine="5120" w:firstLineChars="16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2024年9月10日 </w:t>
      </w:r>
    </w:p>
    <w:p w14:paraId="3A677B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0C13A4-3B0E-49E0-B969-D29F93BAC0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4E3BD50-DD61-4168-8D89-FD02DE93E60B}"/>
  </w:font>
  <w:font w:name="方正小标宋简体">
    <w:panose1 w:val="03000509000000000000"/>
    <w:charset w:val="86"/>
    <w:family w:val="auto"/>
    <w:pitch w:val="default"/>
    <w:sig w:usb0="00000001" w:usb1="080E0000" w:usb2="00000000" w:usb3="00000000" w:csb0="00040000" w:csb1="00000000"/>
    <w:embedRegular r:id="rId3" w:fontKey="{1C8D9121-190F-4C01-B6B4-72045CB084B8}"/>
  </w:font>
  <w:font w:name="仿宋">
    <w:panose1 w:val="02010609060101010101"/>
    <w:charset w:val="86"/>
    <w:family w:val="auto"/>
    <w:pitch w:val="default"/>
    <w:sig w:usb0="800002BF" w:usb1="38CF7CFA" w:usb2="00000016" w:usb3="00000000" w:csb0="00040001" w:csb1="00000000"/>
    <w:embedRegular r:id="rId4" w:fontKey="{0739AA49-C066-4C60-86DE-C9C4A88FB577}"/>
  </w:font>
  <w:font w:name="楷体_GB2312">
    <w:panose1 w:val="02010609030101010101"/>
    <w:charset w:val="86"/>
    <w:family w:val="auto"/>
    <w:pitch w:val="default"/>
    <w:sig w:usb0="00000001" w:usb1="080E0000" w:usb2="00000000" w:usb3="00000000" w:csb0="00040000" w:csb1="00000000"/>
    <w:embedRegular r:id="rId5" w:fontKey="{F9AC2B70-6710-4C3C-8B02-198D2DEEEB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93A8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B72A7">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4B72A7">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Y2Q5YjE1OWIzNDg3ODFmNGNhZTIxNTNkY2RiNTgifQ=="/>
  </w:docVars>
  <w:rsids>
    <w:rsidRoot w:val="490B5E07"/>
    <w:rsid w:val="02385327"/>
    <w:rsid w:val="027B37D3"/>
    <w:rsid w:val="05C375FE"/>
    <w:rsid w:val="0669491D"/>
    <w:rsid w:val="06E339A6"/>
    <w:rsid w:val="094E4120"/>
    <w:rsid w:val="0C83191A"/>
    <w:rsid w:val="0E680D42"/>
    <w:rsid w:val="0EAF071F"/>
    <w:rsid w:val="11457119"/>
    <w:rsid w:val="12633CFA"/>
    <w:rsid w:val="15412DDB"/>
    <w:rsid w:val="173F338D"/>
    <w:rsid w:val="18F02060"/>
    <w:rsid w:val="19925A30"/>
    <w:rsid w:val="19C038FE"/>
    <w:rsid w:val="1B733B83"/>
    <w:rsid w:val="1B7B1D8E"/>
    <w:rsid w:val="1C843D6E"/>
    <w:rsid w:val="1CB33AD0"/>
    <w:rsid w:val="206F5F60"/>
    <w:rsid w:val="20F154E3"/>
    <w:rsid w:val="22A77C33"/>
    <w:rsid w:val="23340DDF"/>
    <w:rsid w:val="23696C97"/>
    <w:rsid w:val="25E62821"/>
    <w:rsid w:val="297E088B"/>
    <w:rsid w:val="2A4144C9"/>
    <w:rsid w:val="2B4029D3"/>
    <w:rsid w:val="2B564A0C"/>
    <w:rsid w:val="2C7078A2"/>
    <w:rsid w:val="2D087520"/>
    <w:rsid w:val="303D4414"/>
    <w:rsid w:val="319F1645"/>
    <w:rsid w:val="32403B0F"/>
    <w:rsid w:val="32F81DE5"/>
    <w:rsid w:val="336D5D1E"/>
    <w:rsid w:val="343B1921"/>
    <w:rsid w:val="35A115B8"/>
    <w:rsid w:val="376A22AE"/>
    <w:rsid w:val="377A3047"/>
    <w:rsid w:val="384B4272"/>
    <w:rsid w:val="39231B75"/>
    <w:rsid w:val="3FF04570"/>
    <w:rsid w:val="411956C9"/>
    <w:rsid w:val="41CA1039"/>
    <w:rsid w:val="420F7562"/>
    <w:rsid w:val="42EA6CCE"/>
    <w:rsid w:val="4484797D"/>
    <w:rsid w:val="45F12DF0"/>
    <w:rsid w:val="477C2B8D"/>
    <w:rsid w:val="490B5E07"/>
    <w:rsid w:val="4928225C"/>
    <w:rsid w:val="498E0956"/>
    <w:rsid w:val="4B9C1A50"/>
    <w:rsid w:val="4C8A7AFA"/>
    <w:rsid w:val="4FFE5284"/>
    <w:rsid w:val="505446A7"/>
    <w:rsid w:val="50D056B5"/>
    <w:rsid w:val="51627D41"/>
    <w:rsid w:val="544C398F"/>
    <w:rsid w:val="57F14ED1"/>
    <w:rsid w:val="5CEC5F6B"/>
    <w:rsid w:val="5CF83C5F"/>
    <w:rsid w:val="5EF4302F"/>
    <w:rsid w:val="606571D7"/>
    <w:rsid w:val="615C33BC"/>
    <w:rsid w:val="624D07DC"/>
    <w:rsid w:val="62960B4F"/>
    <w:rsid w:val="63864720"/>
    <w:rsid w:val="63EB54AC"/>
    <w:rsid w:val="64360C44"/>
    <w:rsid w:val="64390CE7"/>
    <w:rsid w:val="64654742"/>
    <w:rsid w:val="650D1727"/>
    <w:rsid w:val="67D85766"/>
    <w:rsid w:val="68674C9B"/>
    <w:rsid w:val="6A542BDD"/>
    <w:rsid w:val="6CBE317C"/>
    <w:rsid w:val="6EE40E94"/>
    <w:rsid w:val="6F280D81"/>
    <w:rsid w:val="70390D6C"/>
    <w:rsid w:val="72F571CC"/>
    <w:rsid w:val="7377177D"/>
    <w:rsid w:val="76AF1AE2"/>
    <w:rsid w:val="778D031B"/>
    <w:rsid w:val="77AF5B81"/>
    <w:rsid w:val="77BD702D"/>
    <w:rsid w:val="77C655DB"/>
    <w:rsid w:val="77E55B44"/>
    <w:rsid w:val="78411E80"/>
    <w:rsid w:val="7D6D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kern w:val="0"/>
      <w:sz w:val="20"/>
    </w:rPr>
  </w:style>
  <w:style w:type="paragraph" w:customStyle="1" w:styleId="3">
    <w:name w:val="正文首行缩进1"/>
    <w:autoRedefine/>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4">
    <w:name w:val="Body Text Indent"/>
    <w:basedOn w:val="1"/>
    <w:autoRedefine/>
    <w:qFormat/>
    <w:uiPriority w:val="0"/>
    <w:pPr>
      <w:tabs>
        <w:tab w:val="left" w:pos="4140"/>
      </w:tabs>
      <w:spacing w:line="540" w:lineRule="exact"/>
      <w:ind w:firstLine="720" w:firstLineChars="225"/>
    </w:pPr>
    <w:rPr>
      <w:rFonts w:ascii="仿宋_GB2312" w:eastAsia="仿宋_GB2312"/>
      <w:sz w:val="32"/>
      <w:szCs w:val="32"/>
    </w:rPr>
  </w:style>
  <w:style w:type="paragraph" w:styleId="5">
    <w:name w:val="Body Text Indent 2"/>
    <w:basedOn w:val="1"/>
    <w:autoRedefine/>
    <w:qFormat/>
    <w:uiPriority w:val="0"/>
    <w:pPr>
      <w:spacing w:line="240" w:lineRule="auto"/>
      <w:ind w:firstLine="554" w:firstLineChars="0"/>
      <w:jc w:val="center"/>
    </w:pPr>
    <w:rPr>
      <w:rFonts w:ascii="宋体" w:hAnsi="宋体"/>
      <w:sz w:val="2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spacing w:line="360" w:lineRule="auto"/>
      <w:ind w:firstLine="200" w:firstLineChars="200"/>
    </w:pPr>
    <w:rPr>
      <w:rFonts w:eastAsia="仿宋_GB2312"/>
      <w:kern w:val="0"/>
      <w:sz w:val="30"/>
      <w:szCs w:val="20"/>
    </w:rPr>
  </w:style>
  <w:style w:type="character" w:styleId="11">
    <w:name w:val="Hyperlink"/>
    <w:basedOn w:val="10"/>
    <w:qFormat/>
    <w:uiPriority w:val="0"/>
    <w:rPr>
      <w:color w:val="0000FF"/>
      <w:u w:val="single"/>
    </w:rPr>
  </w:style>
  <w:style w:type="character" w:customStyle="1" w:styleId="12">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1797</Words>
  <Characters>1902</Characters>
  <Lines>0</Lines>
  <Paragraphs>0</Paragraphs>
  <TotalTime>10</TotalTime>
  <ScaleCrop>false</ScaleCrop>
  <LinksUpToDate>false</LinksUpToDate>
  <CharactersWithSpaces>1913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2022-11-21T02:40:00Z</dcterms:created>
  <dc:creator>港湾</dc:creator>
  <cp:lastModifiedBy>浮生物语</cp:lastModifiedBy>
  <cp:lastPrinted>2024-09-11T01:18:00Z</cp:lastPrinted>
  <dcterms:modified xsi:type="dcterms:W3CDTF">2024-09-14T08:48:04Z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EB7678E507C04213936C0688836206D9_13</vt:lpwstr>
  </property>
</Properties>
</file>