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line="225" w:lineRule="auto"/>
        <w:jc w:val="center"/>
        <w:outlineLvl w:val="0"/>
        <w:rPr>
          <w:rFonts w:hint="eastAsia" w:ascii="黑体" w:hAnsi="黑体" w:eastAsia="黑体" w:cs="黑体"/>
          <w:spacing w:val="-8"/>
          <w:sz w:val="48"/>
          <w:szCs w:val="48"/>
        </w:rPr>
      </w:pPr>
      <w:r>
        <w:rPr>
          <w:rFonts w:hint="eastAsia" w:ascii="黑体" w:hAnsi="黑体" w:eastAsia="黑体" w:cs="黑体"/>
          <w:spacing w:val="-8"/>
          <w:sz w:val="48"/>
          <w:szCs w:val="48"/>
        </w:rPr>
        <w:t>概算</w:t>
      </w:r>
      <w:r>
        <w:rPr>
          <w:rFonts w:hint="eastAsia" w:ascii="黑体" w:hAnsi="黑体" w:eastAsia="黑体" w:cs="黑体"/>
          <w:spacing w:val="-8"/>
          <w:sz w:val="48"/>
          <w:szCs w:val="48"/>
          <w:lang w:eastAsia="zh-CN"/>
        </w:rPr>
        <w:t>汇</w:t>
      </w:r>
      <w:r>
        <w:rPr>
          <w:rFonts w:hint="eastAsia" w:ascii="黑体" w:hAnsi="黑体" w:eastAsia="黑体" w:cs="黑体"/>
          <w:spacing w:val="-8"/>
          <w:sz w:val="48"/>
          <w:szCs w:val="48"/>
        </w:rPr>
        <w:t>总表</w:t>
      </w:r>
    </w:p>
    <w:p>
      <w:pPr>
        <w:spacing w:before="100" w:line="225" w:lineRule="auto"/>
        <w:jc w:val="center"/>
        <w:outlineLvl w:val="0"/>
        <w:rPr>
          <w:rFonts w:ascii="宋体" w:hAnsi="宋体" w:eastAsia="宋体" w:cs="宋体"/>
          <w:spacing w:val="-8"/>
          <w:sz w:val="40"/>
          <w:szCs w:val="40"/>
        </w:rPr>
      </w:pPr>
    </w:p>
    <w:p>
      <w:pPr>
        <w:spacing w:before="100" w:line="225" w:lineRule="auto"/>
        <w:outlineLvl w:val="0"/>
        <w:rPr>
          <w:rFonts w:hint="eastAsia" w:ascii="宋体" w:hAnsi="宋体" w:eastAsia="宋体" w:cs="宋体"/>
          <w:spacing w:val="-8"/>
          <w:sz w:val="31"/>
          <w:szCs w:val="31"/>
          <w:lang w:eastAsia="zh-CN"/>
        </w:rPr>
      </w:pPr>
      <w:r>
        <w:rPr>
          <w:rFonts w:hint="eastAsia" w:ascii="宋体" w:hAnsi="宋体" w:eastAsia="宋体" w:cs="宋体"/>
          <w:spacing w:val="-8"/>
          <w:sz w:val="31"/>
          <w:szCs w:val="31"/>
          <w:lang w:eastAsia="zh-CN"/>
        </w:rPr>
        <w:t>工程名称：夏县滨河路绿化工程（体育馆段）</w:t>
      </w:r>
    </w:p>
    <w:tbl>
      <w:tblPr>
        <w:tblStyle w:val="4"/>
        <w:tblW w:w="971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2508"/>
        <w:gridCol w:w="2988"/>
        <w:gridCol w:w="356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50" w:type="dxa"/>
            <w:vAlign w:val="top"/>
          </w:tcPr>
          <w:p>
            <w:pPr>
              <w:pStyle w:val="5"/>
              <w:spacing w:before="225" w:line="191" w:lineRule="auto"/>
              <w:ind w:left="116"/>
            </w:pPr>
            <w:r>
              <w:rPr>
                <w:spacing w:val="-3"/>
              </w:rPr>
              <w:t>序号</w:t>
            </w:r>
          </w:p>
        </w:tc>
        <w:tc>
          <w:tcPr>
            <w:tcW w:w="2508" w:type="dxa"/>
            <w:vAlign w:val="top"/>
          </w:tcPr>
          <w:p>
            <w:pPr>
              <w:pStyle w:val="5"/>
              <w:spacing w:before="225" w:line="190" w:lineRule="auto"/>
              <w:ind w:left="120"/>
            </w:pPr>
            <w:r>
              <w:rPr>
                <w:spacing w:val="-2"/>
              </w:rPr>
              <w:t>工程项目或费用名称</w:t>
            </w:r>
          </w:p>
        </w:tc>
        <w:tc>
          <w:tcPr>
            <w:tcW w:w="2988" w:type="dxa"/>
            <w:vAlign w:val="top"/>
          </w:tcPr>
          <w:p>
            <w:pPr>
              <w:pStyle w:val="5"/>
              <w:spacing w:before="225" w:line="191" w:lineRule="auto"/>
              <w:jc w:val="center"/>
              <w:rPr>
                <w:rFonts w:hint="eastAsia" w:eastAsia="微软雅黑"/>
                <w:lang w:eastAsia="zh-CN"/>
              </w:rPr>
            </w:pPr>
            <w:r>
              <w:rPr>
                <w:spacing w:val="-2"/>
              </w:rPr>
              <w:t>初步设计概算投资</w:t>
            </w:r>
            <w:r>
              <w:rPr>
                <w:rFonts w:hint="eastAsia"/>
                <w:spacing w:val="-2"/>
                <w:lang w:eastAsia="zh-CN"/>
              </w:rPr>
              <w:t>（万元）</w:t>
            </w:r>
            <w:bookmarkStart w:id="0" w:name="_GoBack"/>
            <w:bookmarkEnd w:id="0"/>
          </w:p>
        </w:tc>
        <w:tc>
          <w:tcPr>
            <w:tcW w:w="3566" w:type="dxa"/>
            <w:vAlign w:val="top"/>
          </w:tcPr>
          <w:p>
            <w:pPr>
              <w:pStyle w:val="5"/>
              <w:spacing w:before="226" w:line="192" w:lineRule="auto"/>
              <w:jc w:val="center"/>
            </w:pPr>
            <w:r>
              <w:rPr>
                <w:spacing w:val="-2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650" w:type="dxa"/>
            <w:vAlign w:val="top"/>
          </w:tcPr>
          <w:p>
            <w:pPr>
              <w:pStyle w:val="5"/>
              <w:spacing w:before="200" w:line="209" w:lineRule="exact"/>
              <w:jc w:val="center"/>
            </w:pPr>
            <w:r>
              <w:rPr>
                <w:position w:val="-3"/>
              </w:rPr>
              <w:t>一</w:t>
            </w:r>
          </w:p>
        </w:tc>
        <w:tc>
          <w:tcPr>
            <w:tcW w:w="2508" w:type="dxa"/>
            <w:vAlign w:val="top"/>
          </w:tcPr>
          <w:p>
            <w:pPr>
              <w:pStyle w:val="5"/>
              <w:spacing w:before="219" w:line="190" w:lineRule="auto"/>
              <w:ind w:left="120"/>
            </w:pPr>
            <w:r>
              <w:rPr>
                <w:spacing w:val="-4"/>
              </w:rPr>
              <w:t>工程费用</w:t>
            </w:r>
          </w:p>
        </w:tc>
        <w:tc>
          <w:tcPr>
            <w:tcW w:w="2988" w:type="dxa"/>
            <w:vAlign w:val="top"/>
          </w:tcPr>
          <w:p>
            <w:pPr>
              <w:pStyle w:val="5"/>
              <w:spacing w:before="223" w:line="162" w:lineRule="auto"/>
              <w:jc w:val="center"/>
              <w:rPr>
                <w:sz w:val="22"/>
                <w:szCs w:val="22"/>
              </w:rPr>
            </w:pPr>
            <w:r>
              <w:rPr>
                <w:spacing w:val="-13"/>
                <w:sz w:val="22"/>
                <w:szCs w:val="22"/>
              </w:rPr>
              <w:t>135.72</w:t>
            </w:r>
          </w:p>
        </w:tc>
        <w:tc>
          <w:tcPr>
            <w:tcW w:w="3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8" w:type="dxa"/>
            <w:vAlign w:val="top"/>
          </w:tcPr>
          <w:p>
            <w:pPr>
              <w:pStyle w:val="5"/>
              <w:spacing w:before="221" w:line="191" w:lineRule="auto"/>
              <w:ind w:left="120"/>
            </w:pPr>
            <w:r>
              <w:rPr>
                <w:spacing w:val="-4"/>
              </w:rPr>
              <w:t>土方工程</w:t>
            </w:r>
          </w:p>
        </w:tc>
        <w:tc>
          <w:tcPr>
            <w:tcW w:w="2988" w:type="dxa"/>
            <w:vAlign w:val="top"/>
          </w:tcPr>
          <w:p>
            <w:pPr>
              <w:pStyle w:val="5"/>
              <w:spacing w:before="226" w:line="162" w:lineRule="auto"/>
              <w:jc w:val="center"/>
              <w:rPr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6.49</w:t>
            </w:r>
          </w:p>
        </w:tc>
        <w:tc>
          <w:tcPr>
            <w:tcW w:w="3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8" w:type="dxa"/>
            <w:vAlign w:val="top"/>
          </w:tcPr>
          <w:p>
            <w:pPr>
              <w:pStyle w:val="5"/>
              <w:spacing w:before="221" w:line="192" w:lineRule="auto"/>
              <w:ind w:left="112"/>
            </w:pPr>
            <w:r>
              <w:rPr>
                <w:spacing w:val="-2"/>
              </w:rPr>
              <w:t>绿化工程</w:t>
            </w:r>
          </w:p>
        </w:tc>
        <w:tc>
          <w:tcPr>
            <w:tcW w:w="2988" w:type="dxa"/>
            <w:vAlign w:val="top"/>
          </w:tcPr>
          <w:p>
            <w:pPr>
              <w:pStyle w:val="5"/>
              <w:spacing w:before="226" w:line="162" w:lineRule="auto"/>
              <w:jc w:val="center"/>
              <w:rPr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51.69</w:t>
            </w:r>
          </w:p>
        </w:tc>
        <w:tc>
          <w:tcPr>
            <w:tcW w:w="3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8" w:type="dxa"/>
            <w:vAlign w:val="top"/>
          </w:tcPr>
          <w:p>
            <w:pPr>
              <w:pStyle w:val="5"/>
              <w:spacing w:before="222" w:line="190" w:lineRule="auto"/>
              <w:ind w:left="117"/>
            </w:pPr>
            <w:r>
              <w:rPr>
                <w:spacing w:val="-2"/>
              </w:rPr>
              <w:t>景观土建及零星工程</w:t>
            </w:r>
          </w:p>
        </w:tc>
        <w:tc>
          <w:tcPr>
            <w:tcW w:w="2988" w:type="dxa"/>
            <w:vAlign w:val="top"/>
          </w:tcPr>
          <w:p>
            <w:pPr>
              <w:pStyle w:val="5"/>
              <w:spacing w:before="227" w:line="162" w:lineRule="auto"/>
              <w:jc w:val="center"/>
              <w:rPr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71.92</w:t>
            </w:r>
          </w:p>
        </w:tc>
        <w:tc>
          <w:tcPr>
            <w:tcW w:w="3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8" w:type="dxa"/>
            <w:vAlign w:val="top"/>
          </w:tcPr>
          <w:p>
            <w:pPr>
              <w:pStyle w:val="5"/>
              <w:spacing w:before="222" w:line="191" w:lineRule="auto"/>
              <w:ind w:left="119"/>
            </w:pPr>
            <w:r>
              <w:rPr>
                <w:spacing w:val="-2"/>
              </w:rPr>
              <w:t>安装及附属工程</w:t>
            </w:r>
          </w:p>
        </w:tc>
        <w:tc>
          <w:tcPr>
            <w:tcW w:w="2988" w:type="dxa"/>
            <w:vAlign w:val="top"/>
          </w:tcPr>
          <w:p>
            <w:pPr>
              <w:pStyle w:val="5"/>
              <w:spacing w:before="227" w:line="162" w:lineRule="auto"/>
              <w:jc w:val="center"/>
              <w:rPr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5.62</w:t>
            </w:r>
          </w:p>
        </w:tc>
        <w:tc>
          <w:tcPr>
            <w:tcW w:w="3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650" w:type="dxa"/>
            <w:vAlign w:val="top"/>
          </w:tcPr>
          <w:p>
            <w:pPr>
              <w:pStyle w:val="5"/>
              <w:spacing w:before="138" w:line="263" w:lineRule="exact"/>
              <w:jc w:val="center"/>
            </w:pPr>
            <w:r>
              <w:t>二</w:t>
            </w:r>
          </w:p>
        </w:tc>
        <w:tc>
          <w:tcPr>
            <w:tcW w:w="2508" w:type="dxa"/>
            <w:vAlign w:val="top"/>
          </w:tcPr>
          <w:p>
            <w:pPr>
              <w:pStyle w:val="5"/>
              <w:spacing w:before="223" w:line="190" w:lineRule="auto"/>
              <w:ind w:left="117"/>
            </w:pPr>
            <w:r>
              <w:rPr>
                <w:spacing w:val="-3"/>
              </w:rPr>
              <w:t>其他费用</w:t>
            </w:r>
          </w:p>
        </w:tc>
        <w:tc>
          <w:tcPr>
            <w:tcW w:w="2988" w:type="dxa"/>
            <w:vAlign w:val="top"/>
          </w:tcPr>
          <w:p>
            <w:pPr>
              <w:pStyle w:val="5"/>
              <w:spacing w:before="228" w:line="162" w:lineRule="auto"/>
              <w:jc w:val="center"/>
              <w:rPr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20.03</w:t>
            </w:r>
          </w:p>
        </w:tc>
        <w:tc>
          <w:tcPr>
            <w:tcW w:w="3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8" w:type="dxa"/>
            <w:vAlign w:val="top"/>
          </w:tcPr>
          <w:p>
            <w:pPr>
              <w:pStyle w:val="5"/>
              <w:spacing w:before="223" w:line="191" w:lineRule="auto"/>
              <w:ind w:left="115"/>
            </w:pPr>
            <w:r>
              <w:rPr>
                <w:spacing w:val="-2"/>
              </w:rPr>
              <w:t>建设单位管理费</w:t>
            </w:r>
          </w:p>
        </w:tc>
        <w:tc>
          <w:tcPr>
            <w:tcW w:w="2988" w:type="dxa"/>
            <w:vAlign w:val="top"/>
          </w:tcPr>
          <w:p>
            <w:pPr>
              <w:pStyle w:val="5"/>
              <w:spacing w:before="229" w:line="161" w:lineRule="auto"/>
              <w:jc w:val="center"/>
              <w:rPr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2.71</w:t>
            </w:r>
          </w:p>
        </w:tc>
        <w:tc>
          <w:tcPr>
            <w:tcW w:w="3566" w:type="dxa"/>
            <w:vAlign w:val="top"/>
          </w:tcPr>
          <w:p>
            <w:pPr>
              <w:pStyle w:val="5"/>
              <w:spacing w:before="224" w:line="190" w:lineRule="auto"/>
              <w:ind w:left="362"/>
            </w:pPr>
            <w:r>
              <w:rPr>
                <w:spacing w:val="-2"/>
              </w:rPr>
              <w:t>差额定率累进法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8" w:type="dxa"/>
            <w:vAlign w:val="top"/>
          </w:tcPr>
          <w:p>
            <w:pPr>
              <w:pStyle w:val="5"/>
              <w:spacing w:before="224" w:line="191" w:lineRule="auto"/>
              <w:ind w:left="120"/>
            </w:pPr>
            <w:r>
              <w:rPr>
                <w:spacing w:val="-3"/>
              </w:rPr>
              <w:t>工程勘察费</w:t>
            </w:r>
          </w:p>
        </w:tc>
        <w:tc>
          <w:tcPr>
            <w:tcW w:w="2988" w:type="dxa"/>
            <w:vAlign w:val="top"/>
          </w:tcPr>
          <w:p>
            <w:pPr>
              <w:pStyle w:val="5"/>
              <w:spacing w:before="230" w:line="162" w:lineRule="auto"/>
              <w:jc w:val="center"/>
              <w:rPr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1.09</w:t>
            </w:r>
          </w:p>
        </w:tc>
        <w:tc>
          <w:tcPr>
            <w:tcW w:w="3566" w:type="dxa"/>
            <w:vAlign w:val="top"/>
          </w:tcPr>
          <w:p>
            <w:pPr>
              <w:pStyle w:val="5"/>
              <w:spacing w:before="225" w:line="190" w:lineRule="auto"/>
              <w:ind w:left="379"/>
            </w:pPr>
            <w:r>
              <w:rPr>
                <w:spacing w:val="-6"/>
              </w:rPr>
              <w:t>以建安工程费为标准 0.8%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8" w:type="dxa"/>
            <w:vAlign w:val="top"/>
          </w:tcPr>
          <w:p>
            <w:pPr>
              <w:pStyle w:val="5"/>
              <w:spacing w:before="225" w:line="191" w:lineRule="auto"/>
              <w:ind w:left="120"/>
            </w:pPr>
            <w:r>
              <w:rPr>
                <w:spacing w:val="-3"/>
              </w:rPr>
              <w:t>工程设计费</w:t>
            </w:r>
          </w:p>
        </w:tc>
        <w:tc>
          <w:tcPr>
            <w:tcW w:w="2988" w:type="dxa"/>
            <w:vAlign w:val="top"/>
          </w:tcPr>
          <w:p>
            <w:pPr>
              <w:pStyle w:val="5"/>
              <w:spacing w:before="230" w:line="162" w:lineRule="auto"/>
              <w:jc w:val="center"/>
              <w:rPr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6.19</w:t>
            </w:r>
          </w:p>
        </w:tc>
        <w:tc>
          <w:tcPr>
            <w:tcW w:w="3566" w:type="dxa"/>
            <w:vAlign w:val="top"/>
          </w:tcPr>
          <w:p>
            <w:pPr>
              <w:pStyle w:val="5"/>
              <w:spacing w:before="225" w:line="190" w:lineRule="auto"/>
              <w:ind w:left="378"/>
            </w:pPr>
            <w:r>
              <w:rPr>
                <w:spacing w:val="-4"/>
              </w:rPr>
              <w:t>内插法*调整系数并结合市场价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8" w:type="dxa"/>
            <w:vAlign w:val="top"/>
          </w:tcPr>
          <w:p>
            <w:pPr>
              <w:pStyle w:val="5"/>
              <w:spacing w:before="225" w:line="191" w:lineRule="auto"/>
              <w:ind w:left="120"/>
            </w:pPr>
            <w:r>
              <w:rPr>
                <w:spacing w:val="-3"/>
              </w:rPr>
              <w:t>工程监理费</w:t>
            </w:r>
          </w:p>
        </w:tc>
        <w:tc>
          <w:tcPr>
            <w:tcW w:w="2988" w:type="dxa"/>
            <w:vAlign w:val="top"/>
          </w:tcPr>
          <w:p>
            <w:pPr>
              <w:pStyle w:val="5"/>
              <w:spacing w:before="230" w:line="161" w:lineRule="auto"/>
              <w:jc w:val="center"/>
              <w:rPr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2.44</w:t>
            </w:r>
          </w:p>
        </w:tc>
        <w:tc>
          <w:tcPr>
            <w:tcW w:w="3566" w:type="dxa"/>
            <w:vAlign w:val="top"/>
          </w:tcPr>
          <w:p>
            <w:pPr>
              <w:pStyle w:val="5"/>
              <w:spacing w:before="225" w:line="190" w:lineRule="auto"/>
              <w:ind w:left="378"/>
            </w:pPr>
            <w:r>
              <w:rPr>
                <w:spacing w:val="-4"/>
              </w:rPr>
              <w:t>内插法*调整系数并结合市场价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8" w:type="dxa"/>
            <w:vAlign w:val="top"/>
          </w:tcPr>
          <w:p>
            <w:pPr>
              <w:pStyle w:val="5"/>
              <w:spacing w:before="225" w:line="191" w:lineRule="auto"/>
              <w:ind w:left="117" w:leftChars="0"/>
              <w:rPr>
                <w:spacing w:val="-3"/>
              </w:rPr>
            </w:pPr>
            <w:r>
              <w:rPr>
                <w:spacing w:val="-2"/>
              </w:rPr>
              <w:t>可研报告编制费</w:t>
            </w:r>
          </w:p>
        </w:tc>
        <w:tc>
          <w:tcPr>
            <w:tcW w:w="2988" w:type="dxa"/>
            <w:vAlign w:val="top"/>
          </w:tcPr>
          <w:p>
            <w:pPr>
              <w:pStyle w:val="5"/>
              <w:spacing w:before="230" w:line="162" w:lineRule="auto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3.05</w:t>
            </w:r>
          </w:p>
        </w:tc>
        <w:tc>
          <w:tcPr>
            <w:tcW w:w="3566" w:type="dxa"/>
            <w:vAlign w:val="top"/>
          </w:tcPr>
          <w:p>
            <w:pPr>
              <w:pStyle w:val="5"/>
              <w:spacing w:before="225" w:line="190" w:lineRule="auto"/>
              <w:ind w:left="378" w:leftChars="0"/>
              <w:rPr>
                <w:spacing w:val="-4"/>
              </w:rPr>
            </w:pPr>
            <w:r>
              <w:rPr>
                <w:spacing w:val="-6"/>
              </w:rPr>
              <w:t>内插法*调整系数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8" w:type="dxa"/>
            <w:vAlign w:val="top"/>
          </w:tcPr>
          <w:p>
            <w:pPr>
              <w:pStyle w:val="5"/>
              <w:spacing w:before="218" w:line="191" w:lineRule="auto"/>
              <w:ind w:left="114" w:leftChars="0"/>
              <w:rPr>
                <w:spacing w:val="-3"/>
              </w:rPr>
            </w:pPr>
            <w:r>
              <w:rPr>
                <w:spacing w:val="-2"/>
              </w:rPr>
              <w:t>清单及控制价编制费</w:t>
            </w:r>
          </w:p>
        </w:tc>
        <w:tc>
          <w:tcPr>
            <w:tcW w:w="2988" w:type="dxa"/>
            <w:vAlign w:val="top"/>
          </w:tcPr>
          <w:p>
            <w:pPr>
              <w:pStyle w:val="5"/>
              <w:spacing w:before="224" w:line="162" w:lineRule="auto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0.75</w:t>
            </w:r>
          </w:p>
        </w:tc>
        <w:tc>
          <w:tcPr>
            <w:tcW w:w="3566" w:type="dxa"/>
            <w:vAlign w:val="top"/>
          </w:tcPr>
          <w:p>
            <w:pPr>
              <w:pStyle w:val="5"/>
              <w:spacing w:before="219" w:line="190" w:lineRule="auto"/>
              <w:ind w:left="362" w:leftChars="0"/>
              <w:rPr>
                <w:spacing w:val="-4"/>
              </w:rPr>
            </w:pPr>
            <w:r>
              <w:rPr>
                <w:spacing w:val="-2"/>
              </w:rPr>
              <w:t>差额定率分档累进制计费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8" w:type="dxa"/>
            <w:vAlign w:val="top"/>
          </w:tcPr>
          <w:p>
            <w:pPr>
              <w:pStyle w:val="5"/>
              <w:spacing w:before="222" w:line="191" w:lineRule="auto"/>
              <w:ind w:left="114" w:leftChars="0"/>
              <w:rPr>
                <w:spacing w:val="-3"/>
              </w:rPr>
            </w:pPr>
            <w:r>
              <w:rPr>
                <w:spacing w:val="-1"/>
              </w:rPr>
              <w:t>场地准备及临时设施费</w:t>
            </w:r>
          </w:p>
        </w:tc>
        <w:tc>
          <w:tcPr>
            <w:tcW w:w="2988" w:type="dxa"/>
            <w:vAlign w:val="top"/>
          </w:tcPr>
          <w:p>
            <w:pPr>
              <w:pStyle w:val="5"/>
              <w:spacing w:before="227" w:line="162" w:lineRule="auto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0.81</w:t>
            </w:r>
          </w:p>
        </w:tc>
        <w:tc>
          <w:tcPr>
            <w:tcW w:w="3566" w:type="dxa"/>
            <w:vAlign w:val="top"/>
          </w:tcPr>
          <w:p>
            <w:pPr>
              <w:pStyle w:val="5"/>
              <w:spacing w:before="223" w:line="190" w:lineRule="auto"/>
              <w:ind w:left="379" w:leftChars="0"/>
              <w:rPr>
                <w:spacing w:val="-4"/>
              </w:rPr>
            </w:pPr>
            <w:r>
              <w:rPr>
                <w:spacing w:val="-8"/>
              </w:rPr>
              <w:t>以建安工程费为标准 0.6%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8" w:type="dxa"/>
            <w:vAlign w:val="top"/>
          </w:tcPr>
          <w:p>
            <w:pPr>
              <w:pStyle w:val="5"/>
              <w:spacing w:before="223" w:line="191" w:lineRule="auto"/>
              <w:ind w:left="120" w:leftChars="0"/>
              <w:rPr>
                <w:spacing w:val="-3"/>
              </w:rPr>
            </w:pPr>
            <w:r>
              <w:rPr>
                <w:spacing w:val="-3"/>
              </w:rPr>
              <w:t>工程检测费</w:t>
            </w:r>
          </w:p>
        </w:tc>
        <w:tc>
          <w:tcPr>
            <w:tcW w:w="2988" w:type="dxa"/>
            <w:vAlign w:val="top"/>
          </w:tcPr>
          <w:p>
            <w:pPr>
              <w:pStyle w:val="5"/>
              <w:spacing w:before="228" w:line="162" w:lineRule="auto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2.99</w:t>
            </w:r>
          </w:p>
        </w:tc>
        <w:tc>
          <w:tcPr>
            <w:tcW w:w="3566" w:type="dxa"/>
            <w:vAlign w:val="top"/>
          </w:tcPr>
          <w:p>
            <w:pPr>
              <w:pStyle w:val="5"/>
              <w:spacing w:before="224" w:line="190" w:lineRule="auto"/>
              <w:ind w:left="379" w:leftChars="0"/>
              <w:rPr>
                <w:spacing w:val="-4"/>
              </w:rPr>
            </w:pPr>
            <w:r>
              <w:rPr>
                <w:spacing w:val="-6"/>
              </w:rPr>
              <w:t>以建安工程费为标准 2.2%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50" w:type="dxa"/>
            <w:vAlign w:val="top"/>
          </w:tcPr>
          <w:p>
            <w:pPr>
              <w:pStyle w:val="5"/>
              <w:spacing w:before="255" w:line="158" w:lineRule="auto"/>
              <w:jc w:val="center"/>
              <w:rPr>
                <w:rFonts w:ascii="Arial"/>
                <w:sz w:val="21"/>
              </w:rPr>
            </w:pPr>
            <w:r>
              <w:t>三</w:t>
            </w:r>
          </w:p>
        </w:tc>
        <w:tc>
          <w:tcPr>
            <w:tcW w:w="2508" w:type="dxa"/>
            <w:vAlign w:val="top"/>
          </w:tcPr>
          <w:p>
            <w:pPr>
              <w:pStyle w:val="5"/>
              <w:spacing w:before="224" w:line="190" w:lineRule="auto"/>
              <w:ind w:left="113" w:leftChars="0"/>
              <w:rPr>
                <w:spacing w:val="-3"/>
              </w:rPr>
            </w:pPr>
            <w:r>
              <w:rPr>
                <w:spacing w:val="-3"/>
              </w:rPr>
              <w:t>预备费</w:t>
            </w:r>
          </w:p>
        </w:tc>
        <w:tc>
          <w:tcPr>
            <w:tcW w:w="2988" w:type="dxa"/>
            <w:vAlign w:val="top"/>
          </w:tcPr>
          <w:p>
            <w:pPr>
              <w:pStyle w:val="5"/>
              <w:spacing w:before="229" w:line="162" w:lineRule="auto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9.35</w:t>
            </w:r>
          </w:p>
        </w:tc>
        <w:tc>
          <w:tcPr>
            <w:tcW w:w="3566" w:type="dxa"/>
            <w:vAlign w:val="top"/>
          </w:tcPr>
          <w:p>
            <w:pPr>
              <w:pStyle w:val="5"/>
              <w:spacing w:before="224" w:line="191" w:lineRule="auto"/>
              <w:ind w:left="360" w:leftChars="0"/>
              <w:rPr>
                <w:spacing w:val="-4"/>
              </w:rPr>
            </w:pPr>
            <w:r>
              <w:rPr>
                <w:spacing w:val="-8"/>
              </w:rPr>
              <w:t>一+二之和 6%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50" w:type="dxa"/>
            <w:vAlign w:val="top"/>
          </w:tcPr>
          <w:p>
            <w:pPr>
              <w:pStyle w:val="5"/>
              <w:spacing w:before="224" w:line="193" w:lineRule="auto"/>
              <w:jc w:val="center"/>
              <w:rPr>
                <w:rFonts w:ascii="Arial"/>
                <w:sz w:val="21"/>
              </w:rPr>
            </w:pPr>
            <w:r>
              <w:t>四</w:t>
            </w:r>
          </w:p>
        </w:tc>
        <w:tc>
          <w:tcPr>
            <w:tcW w:w="2508" w:type="dxa"/>
            <w:vAlign w:val="top"/>
          </w:tcPr>
          <w:p>
            <w:pPr>
              <w:pStyle w:val="5"/>
              <w:spacing w:before="224" w:line="191" w:lineRule="auto"/>
              <w:ind w:left="112" w:leftChars="0"/>
              <w:rPr>
                <w:spacing w:val="-3"/>
              </w:rPr>
            </w:pPr>
            <w:r>
              <w:rPr>
                <w:spacing w:val="-3"/>
              </w:rPr>
              <w:t>合计</w:t>
            </w:r>
          </w:p>
        </w:tc>
        <w:tc>
          <w:tcPr>
            <w:tcW w:w="2988" w:type="dxa"/>
            <w:vAlign w:val="top"/>
          </w:tcPr>
          <w:p>
            <w:pPr>
              <w:pStyle w:val="5"/>
              <w:spacing w:before="230" w:line="162" w:lineRule="auto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3"/>
                <w:sz w:val="22"/>
                <w:szCs w:val="22"/>
              </w:rPr>
              <w:t>165.10</w:t>
            </w:r>
          </w:p>
        </w:tc>
        <w:tc>
          <w:tcPr>
            <w:tcW w:w="3566" w:type="dxa"/>
            <w:vAlign w:val="top"/>
          </w:tcPr>
          <w:p>
            <w:pPr>
              <w:rPr>
                <w:spacing w:val="-4"/>
              </w:rPr>
            </w:pPr>
          </w:p>
        </w:tc>
      </w:tr>
    </w:tbl>
    <w:p>
      <w:pPr>
        <w:tabs>
          <w:tab w:val="left" w:pos="1448"/>
        </w:tabs>
        <w:bidi w:val="0"/>
        <w:jc w:val="both"/>
        <w:rPr>
          <w:rFonts w:hint="eastAsia" w:eastAsia="宋体"/>
          <w:lang w:val="en-US" w:eastAsia="zh-CN"/>
        </w:rPr>
      </w:pPr>
    </w:p>
    <w:sectPr>
      <w:pgSz w:w="11907" w:h="16839"/>
      <w:pgMar w:top="1438" w:right="0" w:bottom="1440" w:left="1012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DIyOWY2NGU5NzA0ODc0MGI3NGZlN2M3MmNmYTM3NjAifQ=="/>
  </w:docVars>
  <w:rsids>
    <w:rsidRoot w:val="00000000"/>
    <w:rsid w:val="0F0D25EE"/>
    <w:rsid w:val="4A317C5F"/>
    <w:rsid w:val="78DC3DFA"/>
    <w:rsid w:val="7AC047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微软雅黑" w:hAnsi="微软雅黑" w:eastAsia="微软雅黑" w:cs="微软雅黑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35</TotalTime>
  <ScaleCrop>false</ScaleCrop>
  <LinksUpToDate>false</LinksUpToDate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2024-03-04T08:52:00Z</dcterms:created>
  <dc:creator>lenovo</dc:creator>
  <cp:lastModifiedBy>五棵松畅征</cp:lastModifiedBy>
  <dcterms:modified xsi:type="dcterms:W3CDTF">2024-03-04T02:34:26Z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2024-03-04T09:53:04Z</vt:filetime>
  </property>
  <property fmtid="{D5CDD505-2E9C-101B-9397-08002B2CF9AE}" pid="4" name="KSOProductBuildVer">
    <vt:lpwstr>2052-12.1.0.16388</vt:lpwstr>
  </property>
  <property fmtid="{D5CDD505-2E9C-101B-9397-08002B2CF9AE}" pid="5" name="ICV">
    <vt:lpwstr>8D316B6923604A4BB519EE1CB5EA5D8D_12</vt:lpwstr>
  </property>
</Properties>
</file>