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夏县民政局</w:t>
      </w:r>
    </w:p>
    <w:p>
      <w:pPr>
        <w:pStyle w:val="4"/>
        <w:keepNext w:val="0"/>
        <w:keepLines w:val="0"/>
        <w:pageBreakBefore w:val="0"/>
        <w:widowControl/>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2023</w:t>
      </w:r>
      <w:r>
        <w:rPr>
          <w:rFonts w:hint="eastAsia" w:ascii="方正小标宋简体" w:hAnsi="方正小标宋简体" w:eastAsia="方正小标宋简体" w:cs="方正小标宋简体"/>
          <w:sz w:val="44"/>
          <w:szCs w:val="44"/>
        </w:rPr>
        <w:t>年政府信息公开工作</w:t>
      </w:r>
      <w:r>
        <w:rPr>
          <w:rFonts w:hint="eastAsia" w:ascii="方正小标宋简体" w:hAnsi="方正小标宋简体" w:eastAsia="方正小标宋简体" w:cs="方正小标宋简体"/>
          <w:sz w:val="44"/>
          <w:szCs w:val="44"/>
          <w:lang w:eastAsia="zh-CN"/>
        </w:rPr>
        <w:t>年</w:t>
      </w:r>
      <w:r>
        <w:rPr>
          <w:rFonts w:hint="eastAsia" w:ascii="方正小标宋简体" w:hAnsi="方正小标宋简体" w:eastAsia="方正小标宋简体" w:cs="方正小标宋简体"/>
          <w:sz w:val="44"/>
          <w:szCs w:val="44"/>
        </w:rPr>
        <w:t>度报告</w:t>
      </w:r>
    </w:p>
    <w:p>
      <w:pPr>
        <w:pStyle w:val="4"/>
        <w:keepNext w:val="0"/>
        <w:keepLines w:val="0"/>
        <w:pageBreakBefore w:val="0"/>
        <w:widowControl/>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sz w:val="44"/>
          <w:szCs w:val="44"/>
        </w:rPr>
      </w:pPr>
    </w:p>
    <w:p>
      <w:pPr>
        <w:pStyle w:val="4"/>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eastAsia" w:ascii="方正小标宋简体" w:hAnsi="方正小标宋简体" w:eastAsia="方正小标宋简体" w:cs="方正小标宋简体"/>
          <w:sz w:val="36"/>
          <w:szCs w:val="36"/>
        </w:rPr>
      </w:pPr>
      <w:r>
        <w:rPr>
          <w:rFonts w:hint="eastAsia" w:ascii="黑体" w:hAnsi="黑体" w:eastAsia="黑体" w:cs="黑体"/>
          <w:sz w:val="32"/>
          <w:szCs w:val="32"/>
        </w:rPr>
        <w:t>一、总体情况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eastAsia="仿宋_GB2312"/>
          <w:color w:val="auto"/>
          <w:w w:val="100"/>
          <w:kern w:val="2"/>
          <w:sz w:val="32"/>
          <w:szCs w:val="32"/>
          <w:shd w:val="clear" w:color="auto" w:fill="FFFFFF"/>
          <w:lang w:val="en-US" w:eastAsia="zh-CN"/>
        </w:rPr>
        <w:t>2023年</w:t>
      </w:r>
      <w:r>
        <w:rPr>
          <w:rFonts w:hint="eastAsia" w:ascii="仿宋_GB2312" w:eastAsia="仿宋_GB2312"/>
          <w:color w:val="auto"/>
          <w:w w:val="100"/>
          <w:kern w:val="2"/>
          <w:sz w:val="32"/>
          <w:szCs w:val="32"/>
          <w:shd w:val="clear" w:color="auto" w:fill="FFFFFF"/>
        </w:rPr>
        <w:t>以来，</w:t>
      </w:r>
      <w:r>
        <w:rPr>
          <w:rFonts w:hint="eastAsia" w:ascii="仿宋_GB2312" w:hAnsi="仿宋_GB2312" w:eastAsia="仿宋_GB2312" w:cs="仿宋_GB2312"/>
          <w:b w:val="0"/>
          <w:bCs w:val="0"/>
          <w:color w:val="auto"/>
          <w:sz w:val="32"/>
          <w:szCs w:val="32"/>
          <w:lang w:val="en-US" w:eastAsia="zh-CN"/>
        </w:rPr>
        <w:t>在县委、县政府的坚强领导下，</w:t>
      </w:r>
      <w:r>
        <w:rPr>
          <w:rFonts w:hint="eastAsia" w:ascii="仿宋_GB2312" w:eastAsia="仿宋_GB2312"/>
          <w:color w:val="auto"/>
          <w:w w:val="100"/>
          <w:kern w:val="2"/>
          <w:sz w:val="32"/>
          <w:szCs w:val="32"/>
          <w:shd w:val="clear" w:color="auto" w:fill="FFFFFF"/>
        </w:rPr>
        <w:t>夏县民政局坚持以习近平新时代中国特色社会主义思想为指导，</w:t>
      </w:r>
      <w:r>
        <w:rPr>
          <w:rFonts w:hint="default" w:ascii="仿宋_GB2312" w:hAnsi="仿宋_GB2312" w:eastAsia="仿宋_GB2312" w:cs="仿宋_GB2312"/>
          <w:sz w:val="32"/>
          <w:szCs w:val="32"/>
          <w:lang w:val="en-US" w:eastAsia="zh-CN"/>
        </w:rPr>
        <w:t>通过扎实做好</w:t>
      </w:r>
      <w:r>
        <w:rPr>
          <w:rFonts w:hint="eastAsia" w:ascii="仿宋_GB2312" w:hAnsi="仿宋_GB2312" w:eastAsia="仿宋_GB2312" w:cs="仿宋_GB2312"/>
          <w:sz w:val="32"/>
          <w:szCs w:val="32"/>
          <w:lang w:val="en-US" w:eastAsia="zh-CN"/>
        </w:rPr>
        <w:t>民政</w:t>
      </w:r>
      <w:r>
        <w:rPr>
          <w:rFonts w:hint="default" w:ascii="仿宋_GB2312" w:hAnsi="仿宋_GB2312" w:eastAsia="仿宋_GB2312" w:cs="仿宋_GB2312"/>
          <w:sz w:val="32"/>
          <w:szCs w:val="32"/>
          <w:lang w:val="en-US" w:eastAsia="zh-CN"/>
        </w:rPr>
        <w:t>部门政务公开工作，严格执行“五公开”标准，坚持以公开为常态、不公开为例外，通过建立并不断完善政务公开工作运行机制、开展信息收集、规范信息发布、强化宣传引导等措施，有效提高了</w:t>
      </w:r>
      <w:r>
        <w:rPr>
          <w:rFonts w:hint="eastAsia" w:ascii="仿宋_GB2312" w:hAnsi="仿宋_GB2312" w:eastAsia="仿宋_GB2312" w:cs="仿宋_GB2312"/>
          <w:sz w:val="32"/>
          <w:szCs w:val="32"/>
          <w:lang w:val="en-US" w:eastAsia="zh-CN"/>
        </w:rPr>
        <w:t>民政</w:t>
      </w:r>
      <w:r>
        <w:rPr>
          <w:rFonts w:hint="default" w:ascii="仿宋_GB2312" w:hAnsi="仿宋_GB2312" w:eastAsia="仿宋_GB2312" w:cs="仿宋_GB2312"/>
          <w:sz w:val="32"/>
          <w:szCs w:val="32"/>
          <w:lang w:val="en-US" w:eastAsia="zh-CN"/>
        </w:rPr>
        <w:t>部门政务工作的透明度，全面提升政务公开标准化规范化水平，更好地为</w:t>
      </w:r>
      <w:r>
        <w:rPr>
          <w:rFonts w:hint="eastAsia" w:ascii="仿宋_GB2312" w:hAnsi="仿宋_GB2312" w:eastAsia="仿宋_GB2312" w:cs="仿宋_GB2312"/>
          <w:sz w:val="32"/>
          <w:szCs w:val="32"/>
          <w:lang w:val="en-US" w:eastAsia="zh-CN"/>
        </w:rPr>
        <w:t>群众</w:t>
      </w:r>
      <w:r>
        <w:rPr>
          <w:rFonts w:hint="default" w:ascii="仿宋_GB2312" w:hAnsi="仿宋_GB2312" w:eastAsia="仿宋_GB2312" w:cs="仿宋_GB2312"/>
          <w:sz w:val="32"/>
          <w:szCs w:val="32"/>
          <w:lang w:val="en-US" w:eastAsia="zh-CN"/>
        </w:rPr>
        <w:t>服务。</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（一）主动公开情况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今年以来，</w:t>
      </w:r>
      <w:r>
        <w:rPr>
          <w:rFonts w:hint="eastAsia" w:ascii="仿宋_GB2312" w:hAnsi="仿宋_GB2312" w:eastAsia="仿宋_GB2312" w:cs="仿宋_GB2312"/>
          <w:sz w:val="32"/>
          <w:szCs w:val="32"/>
          <w:lang w:val="en-US" w:eastAsia="zh-CN"/>
        </w:rPr>
        <w:t>夏县民政</w:t>
      </w:r>
      <w:r>
        <w:rPr>
          <w:rFonts w:hint="default"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val="en-US" w:eastAsia="zh-CN"/>
        </w:rPr>
        <w:t>在夏县人民政府网站</w:t>
      </w:r>
      <w:r>
        <w:rPr>
          <w:rFonts w:hint="default" w:ascii="仿宋_GB2312" w:hAnsi="仿宋_GB2312" w:eastAsia="仿宋_GB2312" w:cs="仿宋_GB2312"/>
          <w:sz w:val="32"/>
          <w:szCs w:val="32"/>
          <w:lang w:val="en-US" w:eastAsia="zh-CN"/>
        </w:rPr>
        <w:t>主动公开信息</w:t>
      </w:r>
      <w:r>
        <w:rPr>
          <w:rFonts w:hint="eastAsia" w:ascii="仿宋_GB2312" w:hAnsi="仿宋_GB2312" w:eastAsia="仿宋_GB2312" w:cs="仿宋_GB2312"/>
          <w:sz w:val="32"/>
          <w:szCs w:val="32"/>
          <w:lang w:val="en-US" w:eastAsia="zh-CN"/>
        </w:rPr>
        <w:t>49</w:t>
      </w:r>
      <w:r>
        <w:rPr>
          <w:rFonts w:hint="default" w:ascii="仿宋_GB2312" w:hAnsi="仿宋_GB2312" w:eastAsia="仿宋_GB2312" w:cs="仿宋_GB2312"/>
          <w:sz w:val="32"/>
          <w:szCs w:val="32"/>
          <w:lang w:val="en-US" w:eastAsia="zh-CN"/>
        </w:rPr>
        <w:t>条，政务公开工作取得明显成效。</w:t>
      </w:r>
      <w:r>
        <w:rPr>
          <w:rFonts w:hint="eastAsia" w:ascii="仿宋_GB2312" w:hAnsi="仿宋_GB2312" w:eastAsia="仿宋_GB2312" w:cs="仿宋_GB2312"/>
          <w:sz w:val="32"/>
          <w:szCs w:val="32"/>
          <w:lang w:val="en-US" w:eastAsia="zh-CN"/>
        </w:rPr>
        <w:t>本年度政府信息公开工作没有发生相关行政事业性收费情况。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（二）依申请公开情况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2023年未收到公民、法人或者其他组织依申请公开事项。</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（三）政府信息管理情况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为进一步加强政务公开工作，增强安全生产监督管理透明度，加强对依法行政的监督和制约，规范服务程序，切实做好政务公开工作</w:t>
      </w:r>
      <w:r>
        <w:rPr>
          <w:rFonts w:hint="eastAsia" w:ascii="仿宋_GB2312" w:hAnsi="仿宋_GB2312" w:eastAsia="仿宋_GB2312" w:cs="仿宋_GB2312"/>
          <w:sz w:val="32"/>
          <w:szCs w:val="32"/>
          <w:lang w:eastAsia="zh-CN"/>
        </w:rPr>
        <w:t>，经局党组研究决定，成立夏县民政局</w:t>
      </w:r>
      <w:r>
        <w:rPr>
          <w:rFonts w:hint="eastAsia" w:ascii="仿宋_GB2312" w:hAnsi="仿宋_GB2312" w:eastAsia="仿宋_GB2312" w:cs="仿宋_GB2312"/>
          <w:sz w:val="32"/>
          <w:szCs w:val="32"/>
          <w:lang w:val="en-US" w:eastAsia="zh-CN"/>
        </w:rPr>
        <w:t>政务公开</w:t>
      </w:r>
      <w:r>
        <w:rPr>
          <w:rFonts w:hint="eastAsia" w:ascii="仿宋_GB2312" w:hAnsi="仿宋_GB2312" w:eastAsia="仿宋_GB2312" w:cs="仿宋_GB2312"/>
          <w:sz w:val="32"/>
          <w:szCs w:val="32"/>
          <w:lang w:eastAsia="zh-CN"/>
        </w:rPr>
        <w:t>工作领导小组，明确了工作职责，</w:t>
      </w:r>
      <w:r>
        <w:rPr>
          <w:rFonts w:hint="eastAsia" w:ascii="仿宋_GB2312" w:hAnsi="仿宋_GB2312" w:eastAsia="仿宋_GB2312" w:cs="仿宋_GB2312"/>
          <w:sz w:val="32"/>
          <w:szCs w:val="32"/>
          <w:lang w:val="en-US" w:eastAsia="zh-CN"/>
        </w:rPr>
        <w:t>形成分级负责、一级抓一级、层层抓落实的良好工作氛围。</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（四）政府信息公开平台建设情况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主要依托夏县人民政府网站、微信公众号等途径发布工作动态、通知公告等信息，并与《夏县人报》、《运城日报》《山西日报》《乡镇论坛》《山西民政》等报社保持着积极联系，在公开民政法规政策方面，做到了及时在不同渠道发布，方便了广大群众及时获取信息。</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（五）监督保障情况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我单位制定了《夏县民政局政务公开实施方案》规定了，政务公开必须遵循六项原则。</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坚持严格依法的原则。政务公开工作应依照国家的有关法律、法规和政策规定进行。以公开为原则，不公开为例外，只要不属于党和国家机密的民政工作信息都应通过适当的方式向社会公开。</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坚持执政为民的原则。从实际出发，抓住与群众利益密切相关的问题，突出在工作过程中的重点部位和环节，及时公开有关民政信息。</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坚持全面真实的原则。政务公开的内容应当全面、真实、可信，结果应当公平公正，防止和严禁任何形式的弄虚作假行为。</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坚持职能定位的原则。在开展政务公开工作时，应结合民政业务职能，分解公开的责任，落实公开的要求。</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lang w:val="en-US" w:eastAsia="zh-CN"/>
        </w:rPr>
        <w:t>坚持安全稳定的原则。配合县委、县政府重大工作和中心工作，一切有碍稳定的事项不能公开。</w:t>
      </w: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sz w:val="32"/>
          <w:szCs w:val="32"/>
          <w:lang w:val="en-US" w:eastAsia="zh-CN"/>
        </w:rPr>
        <w:t>坚持保密审查的原则。依照《中华人民共和国保守国家秘密法》以及其他法律、法规和国家有关规定对拟公开的政府信息进行保密审查。</w:t>
      </w:r>
    </w:p>
    <w:p>
      <w:pPr>
        <w:pStyle w:val="4"/>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、主动公开</w:t>
      </w:r>
      <w:r>
        <w:rPr>
          <w:rFonts w:hint="eastAsia" w:ascii="黑体" w:hAnsi="黑体" w:eastAsia="黑体" w:cs="黑体"/>
          <w:sz w:val="32"/>
          <w:szCs w:val="32"/>
          <w:lang w:eastAsia="zh-CN"/>
        </w:rPr>
        <w:t>政府</w:t>
      </w:r>
      <w:r>
        <w:rPr>
          <w:rFonts w:hint="eastAsia" w:ascii="黑体" w:hAnsi="黑体" w:eastAsia="黑体" w:cs="黑体"/>
          <w:sz w:val="32"/>
          <w:szCs w:val="32"/>
        </w:rPr>
        <w:t>信息情况</w:t>
      </w:r>
    </w:p>
    <w:tbl>
      <w:tblPr>
        <w:tblStyle w:val="6"/>
        <w:tblW w:w="9060" w:type="dxa"/>
        <w:jc w:val="center"/>
        <w:tblLayout w:type="fixed"/>
        <w:tblCellMar>
          <w:top w:w="0" w:type="dxa"/>
          <w:left w:w="0" w:type="dxa"/>
          <w:bottom w:w="0" w:type="dxa"/>
          <w:right w:w="0" w:type="dxa"/>
        </w:tblCellMar>
      </w:tblPr>
      <w:tblGrid>
        <w:gridCol w:w="2677"/>
        <w:gridCol w:w="2875"/>
        <w:gridCol w:w="1414"/>
        <w:gridCol w:w="2094"/>
      </w:tblGrid>
      <w:tr>
        <w:tblPrEx>
          <w:tblCellMar>
            <w:top w:w="0" w:type="dxa"/>
            <w:left w:w="0" w:type="dxa"/>
            <w:bottom w:w="0" w:type="dxa"/>
            <w:right w:w="0" w:type="dxa"/>
          </w:tblCellMar>
        </w:tblPrEx>
        <w:trPr>
          <w:trHeight w:val="90" w:hRule="atLeast"/>
          <w:jc w:val="center"/>
        </w:trPr>
        <w:tc>
          <w:tcPr>
            <w:tcW w:w="9060" w:type="dxa"/>
            <w:gridSpan w:val="4"/>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972"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pPr>
            <w:r>
              <w:rPr>
                <w:rFonts w:hint="eastAsia" w:ascii="宋体" w:hAnsi="宋体" w:eastAsia="宋体" w:cs="宋体"/>
                <w:color w:val="000000"/>
                <w:kern w:val="0"/>
                <w:sz w:val="20"/>
                <w:szCs w:val="20"/>
              </w:rPr>
              <w:t>信息内容</w:t>
            </w:r>
          </w:p>
        </w:tc>
        <w:tc>
          <w:tcPr>
            <w:tcW w:w="2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宋体"/>
                <w:lang w:eastAsia="zh-CN"/>
              </w:rPr>
            </w:pPr>
            <w:r>
              <w:rPr>
                <w:rFonts w:hint="eastAsia" w:ascii="宋体" w:hAnsi="宋体" w:eastAsia="宋体" w:cs="宋体"/>
                <w:color w:val="000000"/>
                <w:kern w:val="0"/>
                <w:sz w:val="20"/>
                <w:szCs w:val="20"/>
              </w:rPr>
              <w:t>本年</w:t>
            </w:r>
            <w:r>
              <w:rPr>
                <w:rFonts w:hint="eastAsia" w:ascii="宋体" w:hAnsi="宋体" w:eastAsia="宋体" w:cs="宋体"/>
                <w:color w:val="000000"/>
                <w:kern w:val="0"/>
                <w:sz w:val="20"/>
                <w:szCs w:val="20"/>
              </w:rPr>
              <w:br w:type="textWrapping"/>
            </w:r>
            <w:r>
              <w:rPr>
                <w:rFonts w:ascii="Calibri" w:hAnsi="Calibri" w:eastAsia="宋体" w:cs="Times New Roman"/>
                <w:kern w:val="0"/>
                <w:sz w:val="20"/>
                <w:szCs w:val="20"/>
              </w:rPr>
              <w:t>制作</w:t>
            </w:r>
            <w:r>
              <w:rPr>
                <w:rFonts w:hint="eastAsia" w:ascii="Calibri" w:hAnsi="Calibri" w:eastAsia="宋体" w:cs="Times New Roman"/>
                <w:kern w:val="0"/>
                <w:sz w:val="20"/>
                <w:szCs w:val="20"/>
                <w:lang w:eastAsia="zh-CN"/>
              </w:rPr>
              <w:t>件数</w:t>
            </w:r>
          </w:p>
        </w:tc>
        <w:tc>
          <w:tcPr>
            <w:tcW w:w="1414"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本年</w:t>
            </w:r>
            <w:r>
              <w:rPr>
                <w:rFonts w:hint="eastAsia" w:ascii="宋体" w:hAnsi="宋体" w:eastAsia="宋体" w:cs="宋体"/>
                <w:color w:val="000000"/>
                <w:kern w:val="0"/>
                <w:sz w:val="20"/>
                <w:szCs w:val="20"/>
                <w:lang w:eastAsia="zh-CN"/>
              </w:rPr>
              <w:t>废止</w:t>
            </w:r>
          </w:p>
          <w:p>
            <w:pPr>
              <w:keepNext w:val="0"/>
              <w:keepLines w:val="0"/>
              <w:pageBreakBefore w:val="0"/>
              <w:widowControl/>
              <w:kinsoku/>
              <w:wordWrap/>
              <w:overflowPunct/>
              <w:topLinePunct w:val="0"/>
              <w:autoSpaceDE/>
              <w:autoSpaceDN/>
              <w:bidi w:val="0"/>
              <w:adjustRightInd/>
              <w:snapToGrid/>
              <w:spacing w:line="620" w:lineRule="exact"/>
              <w:jc w:val="center"/>
              <w:textAlignment w:val="auto"/>
            </w:pPr>
            <w:r>
              <w:rPr>
                <w:rFonts w:ascii="Calibri" w:hAnsi="Calibri" w:eastAsia="宋体" w:cs="Times New Roman"/>
                <w:kern w:val="0"/>
                <w:sz w:val="20"/>
                <w:szCs w:val="20"/>
              </w:rPr>
              <w:t>数量</w:t>
            </w:r>
          </w:p>
        </w:tc>
        <w:tc>
          <w:tcPr>
            <w:tcW w:w="209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eastAsia="zh-CN"/>
              </w:rPr>
            </w:pPr>
            <w:r>
              <w:rPr>
                <w:rFonts w:hint="eastAsia" w:ascii="宋体" w:hAnsi="宋体" w:eastAsia="宋体" w:cs="宋体"/>
                <w:color w:val="000000"/>
                <w:kern w:val="0"/>
                <w:sz w:val="20"/>
                <w:szCs w:val="20"/>
                <w:lang w:eastAsia="zh-CN"/>
              </w:rPr>
              <w:t>现行有效件数</w:t>
            </w:r>
          </w:p>
        </w:tc>
      </w:tr>
      <w:tr>
        <w:tblPrEx>
          <w:tblCellMar>
            <w:top w:w="0" w:type="dxa"/>
            <w:left w:w="0" w:type="dxa"/>
            <w:bottom w:w="0" w:type="dxa"/>
            <w:right w:w="0" w:type="dxa"/>
          </w:tblCellMar>
        </w:tblPrEx>
        <w:trPr>
          <w:trHeight w:val="637"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pPr>
            <w:r>
              <w:rPr>
                <w:rFonts w:hint="eastAsia" w:ascii="宋体" w:hAnsi="宋体" w:eastAsia="宋体" w:cs="宋体"/>
                <w:color w:val="000000"/>
                <w:kern w:val="0"/>
                <w:sz w:val="20"/>
                <w:szCs w:val="20"/>
              </w:rPr>
              <w:t>规章</w:t>
            </w:r>
          </w:p>
        </w:tc>
        <w:tc>
          <w:tcPr>
            <w:tcW w:w="2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lang w:val="en-US" w:eastAsia="zh-CN"/>
              </w:rPr>
            </w:pPr>
            <w:r>
              <w:rPr>
                <w:rFonts w:hint="eastAsia" w:eastAsia="宋体"/>
                <w:lang w:val="en-US" w:eastAsia="zh-CN"/>
              </w:rPr>
              <w:t>0</w:t>
            </w:r>
          </w:p>
        </w:tc>
        <w:tc>
          <w:tcPr>
            <w:tcW w:w="14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lang w:val="en-US" w:eastAsia="zh-CN"/>
              </w:rPr>
            </w:pPr>
            <w:r>
              <w:rPr>
                <w:rFonts w:hint="eastAsia" w:eastAsia="宋体"/>
                <w:lang w:val="en-US" w:eastAsia="zh-CN"/>
              </w:rPr>
              <w:t>0</w:t>
            </w:r>
          </w:p>
        </w:tc>
        <w:tc>
          <w:tcPr>
            <w:tcW w:w="209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lang w:val="en-US" w:eastAsia="zh-CN"/>
              </w:rPr>
            </w:pPr>
            <w:r>
              <w:rPr>
                <w:rFonts w:hint="eastAsia" w:eastAsia="宋体"/>
                <w:lang w:val="en-US" w:eastAsia="zh-CN"/>
              </w:rPr>
              <w:t>0</w:t>
            </w:r>
          </w:p>
        </w:tc>
      </w:tr>
      <w:tr>
        <w:tblPrEx>
          <w:tblCellMar>
            <w:top w:w="0" w:type="dxa"/>
            <w:left w:w="0" w:type="dxa"/>
            <w:bottom w:w="0" w:type="dxa"/>
            <w:right w:w="0" w:type="dxa"/>
          </w:tblCellMar>
        </w:tblPrEx>
        <w:trPr>
          <w:trHeight w:val="471"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pPr>
            <w:r>
              <w:rPr>
                <w:rFonts w:hint="eastAsia" w:ascii="宋体" w:hAnsi="宋体" w:eastAsia="宋体" w:cs="宋体"/>
                <w:color w:val="000000"/>
                <w:kern w:val="0"/>
                <w:sz w:val="20"/>
                <w:szCs w:val="20"/>
                <w:lang w:eastAsia="zh-CN"/>
              </w:rPr>
              <w:t>行政</w:t>
            </w:r>
            <w:r>
              <w:rPr>
                <w:rFonts w:hint="eastAsia" w:ascii="宋体" w:hAnsi="宋体" w:eastAsia="宋体" w:cs="宋体"/>
                <w:color w:val="000000"/>
                <w:kern w:val="0"/>
                <w:sz w:val="20"/>
                <w:szCs w:val="20"/>
              </w:rPr>
              <w:t>规范性文件</w:t>
            </w:r>
          </w:p>
        </w:tc>
        <w:tc>
          <w:tcPr>
            <w:tcW w:w="2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lang w:val="en-US" w:eastAsia="zh-CN"/>
              </w:rPr>
            </w:pPr>
            <w:r>
              <w:rPr>
                <w:rFonts w:hint="eastAsia" w:eastAsia="宋体"/>
                <w:lang w:val="en-US" w:eastAsia="zh-CN"/>
              </w:rPr>
              <w:t>0</w:t>
            </w:r>
          </w:p>
        </w:tc>
        <w:tc>
          <w:tcPr>
            <w:tcW w:w="14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lang w:val="en-US" w:eastAsia="zh-CN"/>
              </w:rPr>
            </w:pPr>
            <w:r>
              <w:rPr>
                <w:rFonts w:hint="eastAsia" w:eastAsia="宋体"/>
                <w:lang w:val="en-US" w:eastAsia="zh-CN"/>
              </w:rPr>
              <w:t>0</w:t>
            </w:r>
          </w:p>
        </w:tc>
        <w:tc>
          <w:tcPr>
            <w:tcW w:w="209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lang w:val="en-US" w:eastAsia="zh-CN"/>
              </w:rPr>
            </w:pPr>
            <w:r>
              <w:rPr>
                <w:rFonts w:hint="eastAsia" w:eastAsia="宋体"/>
                <w:lang w:val="en-US" w:eastAsia="zh-CN"/>
              </w:rPr>
              <w:t>0</w:t>
            </w:r>
          </w:p>
        </w:tc>
      </w:tr>
      <w:tr>
        <w:tblPrEx>
          <w:tblCellMar>
            <w:top w:w="0" w:type="dxa"/>
            <w:left w:w="0" w:type="dxa"/>
            <w:bottom w:w="0" w:type="dxa"/>
            <w:right w:w="0" w:type="dxa"/>
          </w:tblCellMar>
        </w:tblPrEx>
        <w:trPr>
          <w:trHeight w:val="480" w:hRule="atLeast"/>
          <w:jc w:val="center"/>
        </w:trPr>
        <w:tc>
          <w:tcPr>
            <w:tcW w:w="906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pPr>
            <w:r>
              <w:rPr>
                <w:rFonts w:hint="eastAsia" w:ascii="宋体" w:hAnsi="宋体" w:eastAsia="宋体" w:cs="宋体"/>
                <w:color w:val="000000"/>
                <w:kern w:val="0"/>
                <w:sz w:val="20"/>
                <w:szCs w:val="20"/>
              </w:rPr>
              <w:t>信息内容</w:t>
            </w:r>
          </w:p>
        </w:tc>
        <w:tc>
          <w:tcPr>
            <w:tcW w:w="6383" w:type="dxa"/>
            <w:gridSpan w:val="3"/>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pPr>
            <w:r>
              <w:rPr>
                <w:rFonts w:hint="eastAsia" w:ascii="宋体" w:hAnsi="宋体" w:eastAsia="宋体" w:cs="宋体"/>
                <w:color w:val="000000"/>
                <w:kern w:val="0"/>
                <w:sz w:val="20"/>
                <w:szCs w:val="20"/>
                <w:lang w:eastAsia="zh-CN"/>
              </w:rPr>
              <w:t>本年</w:t>
            </w: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pPr>
            <w:r>
              <w:rPr>
                <w:rFonts w:hint="eastAsia" w:ascii="宋体" w:hAnsi="宋体" w:eastAsia="宋体" w:cs="宋体"/>
                <w:color w:val="000000"/>
                <w:kern w:val="0"/>
                <w:sz w:val="20"/>
                <w:szCs w:val="20"/>
              </w:rPr>
              <w:t>行政许可</w:t>
            </w:r>
          </w:p>
        </w:tc>
        <w:tc>
          <w:tcPr>
            <w:tcW w:w="6383"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default" w:eastAsia="宋体"/>
                <w:lang w:val="en-US" w:eastAsia="zh-CN"/>
              </w:rPr>
            </w:pPr>
            <w:r>
              <w:rPr>
                <w:rFonts w:hint="eastAsia" w:eastAsia="宋体"/>
                <w:lang w:val="en-US" w:eastAsia="zh-CN"/>
              </w:rPr>
              <w:t>0</w:t>
            </w:r>
          </w:p>
        </w:tc>
      </w:tr>
      <w:tr>
        <w:tblPrEx>
          <w:tblCellMar>
            <w:top w:w="0" w:type="dxa"/>
            <w:left w:w="0" w:type="dxa"/>
            <w:bottom w:w="0" w:type="dxa"/>
            <w:right w:w="0" w:type="dxa"/>
          </w:tblCellMar>
        </w:tblPrEx>
        <w:trPr>
          <w:trHeight w:val="406" w:hRule="atLeast"/>
          <w:jc w:val="center"/>
        </w:trPr>
        <w:tc>
          <w:tcPr>
            <w:tcW w:w="906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54"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pPr>
            <w:r>
              <w:rPr>
                <w:rFonts w:hint="eastAsia" w:ascii="宋体" w:hAnsi="宋体" w:eastAsia="宋体" w:cs="宋体"/>
                <w:color w:val="000000"/>
                <w:kern w:val="0"/>
                <w:sz w:val="20"/>
                <w:szCs w:val="20"/>
              </w:rPr>
              <w:t>信息内容</w:t>
            </w:r>
          </w:p>
        </w:tc>
        <w:tc>
          <w:tcPr>
            <w:tcW w:w="6383" w:type="dxa"/>
            <w:gridSpan w:val="3"/>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pPr>
            <w:r>
              <w:rPr>
                <w:rFonts w:hint="eastAsia" w:ascii="宋体" w:hAnsi="宋体" w:eastAsia="宋体" w:cs="宋体"/>
                <w:color w:val="000000"/>
                <w:kern w:val="0"/>
                <w:sz w:val="20"/>
                <w:szCs w:val="20"/>
                <w:lang w:eastAsia="zh-CN"/>
              </w:rPr>
              <w:t>本年</w:t>
            </w: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54"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pPr>
            <w:r>
              <w:rPr>
                <w:rFonts w:hint="eastAsia" w:ascii="宋体" w:hAnsi="宋体" w:eastAsia="宋体" w:cs="宋体"/>
                <w:color w:val="000000"/>
                <w:kern w:val="0"/>
                <w:sz w:val="20"/>
                <w:szCs w:val="20"/>
              </w:rPr>
              <w:t>行政处罚</w:t>
            </w:r>
          </w:p>
        </w:tc>
        <w:tc>
          <w:tcPr>
            <w:tcW w:w="6383"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ascii="宋体" w:hAnsi="宋体" w:eastAsia="宋体" w:cs="宋体"/>
                <w:b/>
                <w:bCs/>
                <w:sz w:val="20"/>
                <w:szCs w:val="20"/>
                <w:lang w:val="en-US" w:eastAsia="zh-CN"/>
              </w:rPr>
            </w:pPr>
            <w:r>
              <w:rPr>
                <w:rFonts w:hint="eastAsia" w:ascii="宋体" w:hAnsi="宋体" w:eastAsia="宋体" w:cs="宋体"/>
                <w:b/>
                <w:bCs/>
                <w:sz w:val="20"/>
                <w:szCs w:val="20"/>
                <w:lang w:val="en-US" w:eastAsia="zh-CN"/>
              </w:rPr>
              <w:t>0</w:t>
            </w:r>
          </w:p>
        </w:tc>
      </w:tr>
      <w:tr>
        <w:tblPrEx>
          <w:tblCellMar>
            <w:top w:w="0" w:type="dxa"/>
            <w:left w:w="0" w:type="dxa"/>
            <w:bottom w:w="0" w:type="dxa"/>
            <w:right w:w="0" w:type="dxa"/>
          </w:tblCellMar>
        </w:tblPrEx>
        <w:trPr>
          <w:trHeight w:val="409"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pPr>
            <w:r>
              <w:rPr>
                <w:rFonts w:hint="eastAsia" w:ascii="宋体" w:hAnsi="宋体" w:eastAsia="宋体" w:cs="宋体"/>
                <w:color w:val="000000"/>
                <w:kern w:val="0"/>
                <w:sz w:val="20"/>
                <w:szCs w:val="20"/>
              </w:rPr>
              <w:t>行政强制</w:t>
            </w:r>
          </w:p>
        </w:tc>
        <w:tc>
          <w:tcPr>
            <w:tcW w:w="6383"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ascii="宋体" w:hAnsi="宋体" w:eastAsia="宋体" w:cs="宋体"/>
                <w:b/>
                <w:bCs/>
                <w:sz w:val="20"/>
                <w:szCs w:val="20"/>
                <w:lang w:val="en-US" w:eastAsia="zh-CN"/>
              </w:rPr>
            </w:pPr>
            <w:r>
              <w:rPr>
                <w:rFonts w:hint="eastAsia" w:ascii="宋体" w:hAnsi="宋体" w:eastAsia="宋体" w:cs="宋体"/>
                <w:b/>
                <w:bCs/>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6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pPr>
            <w:r>
              <w:rPr>
                <w:rFonts w:hint="eastAsia" w:ascii="宋体" w:hAnsi="宋体" w:eastAsia="宋体" w:cs="宋体"/>
                <w:color w:val="000000"/>
                <w:kern w:val="0"/>
                <w:sz w:val="20"/>
                <w:szCs w:val="20"/>
              </w:rPr>
              <w:t>信息内容</w:t>
            </w:r>
          </w:p>
        </w:tc>
        <w:tc>
          <w:tcPr>
            <w:tcW w:w="6383" w:type="dxa"/>
            <w:gridSpan w:val="3"/>
            <w:tcBorders>
              <w:top w:val="nil"/>
              <w:left w:val="nil"/>
              <w:bottom w:val="single" w:color="auto" w:sz="8" w:space="0"/>
              <w:right w:val="single" w:color="000000"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eastAsia="zh-CN"/>
              </w:rPr>
            </w:pPr>
            <w:r>
              <w:rPr>
                <w:rFonts w:hint="eastAsia"/>
                <w:lang w:eastAsia="zh-CN"/>
              </w:rPr>
              <w:t>本年收费金额（单位：万元）</w:t>
            </w:r>
          </w:p>
        </w:tc>
      </w:tr>
      <w:tr>
        <w:tblPrEx>
          <w:tblCellMar>
            <w:top w:w="0" w:type="dxa"/>
            <w:left w:w="0" w:type="dxa"/>
            <w:bottom w:w="0" w:type="dxa"/>
            <w:right w:w="0" w:type="dxa"/>
          </w:tblCellMar>
        </w:tblPrEx>
        <w:trPr>
          <w:trHeight w:val="551"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pPr>
            <w:r>
              <w:rPr>
                <w:rFonts w:hint="eastAsia" w:ascii="宋体" w:hAnsi="宋体" w:eastAsia="宋体" w:cs="宋体"/>
                <w:color w:val="000000"/>
                <w:kern w:val="0"/>
                <w:sz w:val="20"/>
                <w:szCs w:val="20"/>
              </w:rPr>
              <w:t>行政事业性收费</w:t>
            </w:r>
          </w:p>
        </w:tc>
        <w:tc>
          <w:tcPr>
            <w:tcW w:w="6383" w:type="dxa"/>
            <w:gridSpan w:val="3"/>
            <w:tcBorders>
              <w:top w:val="nil"/>
              <w:left w:val="nil"/>
              <w:bottom w:val="single" w:color="auto" w:sz="8" w:space="0"/>
              <w:right w:val="single" w:color="000000"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宋体"/>
                <w:lang w:val="en-US" w:eastAsia="zh-CN"/>
              </w:rPr>
            </w:pPr>
            <w:r>
              <w:rPr>
                <w:rFonts w:hint="eastAsia" w:eastAsia="宋体"/>
                <w:lang w:val="en-US" w:eastAsia="zh-CN"/>
              </w:rPr>
              <w:t>0</w:t>
            </w:r>
          </w:p>
        </w:tc>
      </w:tr>
    </w:tbl>
    <w:p>
      <w:pPr>
        <w:pStyle w:val="4"/>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8"/>
        <w:gridCol w:w="855"/>
        <w:gridCol w:w="1285"/>
        <w:gridCol w:w="1618"/>
        <w:gridCol w:w="756"/>
        <w:gridCol w:w="756"/>
        <w:gridCol w:w="815"/>
        <w:gridCol w:w="976"/>
        <w:gridCol w:w="713"/>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pPr>
            <w:r>
              <w:rPr>
                <w:rFonts w:hint="eastAsia" w:ascii="宋体" w:hAnsi="宋体" w:eastAsia="宋体" w:cs="宋体"/>
                <w:kern w:val="0"/>
                <w:sz w:val="20"/>
                <w:szCs w:val="20"/>
              </w:rPr>
              <w:t>（本列数据的勾稽关系为：第一项加第二项之和，等于第三项加第四项之和）</w:t>
            </w:r>
          </w:p>
        </w:tc>
        <w:tc>
          <w:tcPr>
            <w:tcW w:w="6313" w:type="dxa"/>
            <w:gridSpan w:val="7"/>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pPr>
            <w:r>
              <w:rPr>
                <w:rFonts w:hint="eastAsia" w:ascii="宋体" w:hAnsi="宋体" w:eastAsia="宋体" w:cs="宋体"/>
                <w:kern w:val="0"/>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sz w:val="24"/>
                <w:szCs w:val="24"/>
              </w:rPr>
            </w:pPr>
          </w:p>
        </w:tc>
        <w:tc>
          <w:tcPr>
            <w:tcW w:w="1618"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pPr>
            <w:r>
              <w:rPr>
                <w:rFonts w:hint="eastAsia" w:ascii="宋体" w:hAnsi="宋体" w:eastAsia="宋体" w:cs="宋体"/>
                <w:kern w:val="0"/>
                <w:sz w:val="20"/>
                <w:szCs w:val="20"/>
              </w:rPr>
              <w:t>自然人</w:t>
            </w:r>
          </w:p>
        </w:tc>
        <w:tc>
          <w:tcPr>
            <w:tcW w:w="4016" w:type="dxa"/>
            <w:gridSpan w:val="5"/>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pPr>
            <w:r>
              <w:rPr>
                <w:rFonts w:hint="eastAsia" w:ascii="宋体" w:hAnsi="宋体" w:eastAsia="宋体" w:cs="宋体"/>
                <w:kern w:val="0"/>
                <w:sz w:val="20"/>
                <w:szCs w:val="20"/>
              </w:rPr>
              <w:t>法人或其他组织</w:t>
            </w:r>
          </w:p>
        </w:tc>
        <w:tc>
          <w:tcPr>
            <w:tcW w:w="679"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pPr>
            <w:r>
              <w:rPr>
                <w:rFonts w:hint="eastAsia" w:ascii="宋体" w:hAnsi="宋体" w:eastAsia="宋体" w:cs="宋体"/>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3" w:hRule="atLeast"/>
          <w:jc w:val="center"/>
        </w:trPr>
        <w:tc>
          <w:tcPr>
            <w:tcW w:w="2758" w:type="dxa"/>
            <w:gridSpan w:val="3"/>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sz w:val="24"/>
                <w:szCs w:val="24"/>
              </w:rPr>
            </w:pPr>
          </w:p>
        </w:tc>
        <w:tc>
          <w:tcPr>
            <w:tcW w:w="1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sz w:val="24"/>
                <w:szCs w:val="24"/>
              </w:rPr>
            </w:pP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pPr>
            <w:r>
              <w:rPr>
                <w:rFonts w:hint="eastAsia" w:ascii="宋体" w:hAnsi="宋体" w:eastAsia="宋体" w:cs="宋体"/>
                <w:kern w:val="0"/>
                <w:sz w:val="20"/>
                <w:szCs w:val="20"/>
              </w:rPr>
              <w:t>商业企业</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pPr>
            <w:r>
              <w:rPr>
                <w:rFonts w:hint="eastAsia" w:ascii="宋体" w:hAnsi="宋体" w:eastAsia="宋体" w:cs="宋体"/>
                <w:kern w:val="0"/>
                <w:sz w:val="20"/>
                <w:szCs w:val="20"/>
              </w:rPr>
              <w:t>科研机构</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pPr>
            <w:r>
              <w:rPr>
                <w:rFonts w:hint="eastAsia" w:ascii="宋体" w:hAnsi="宋体" w:eastAsia="宋体" w:cs="宋体"/>
                <w:kern w:val="0"/>
                <w:sz w:val="20"/>
                <w:szCs w:val="20"/>
              </w:rPr>
              <w:t>社会公益组织</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pPr>
            <w:r>
              <w:rPr>
                <w:rFonts w:hint="eastAsia" w:ascii="宋体" w:hAnsi="宋体" w:eastAsia="宋体" w:cs="宋体"/>
                <w:kern w:val="0"/>
                <w:sz w:val="20"/>
                <w:szCs w:val="20"/>
              </w:rPr>
              <w:t>法律服务机构</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pPr>
            <w:r>
              <w:rPr>
                <w:rFonts w:hint="eastAsia" w:ascii="宋体" w:hAnsi="宋体" w:eastAsia="宋体" w:cs="宋体"/>
                <w:kern w:val="0"/>
                <w:sz w:val="20"/>
                <w:szCs w:val="20"/>
              </w:rPr>
              <w:t>其他</w:t>
            </w:r>
          </w:p>
        </w:tc>
        <w:tc>
          <w:tcPr>
            <w:tcW w:w="679"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宋体" w:hAnsi="宋体" w:eastAsia="宋体" w:cs="宋体"/>
                <w:kern w:val="0"/>
                <w:sz w:val="20"/>
                <w:szCs w:val="20"/>
              </w:rPr>
              <w:t>一、本年新收政府信息公开申请数量</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宋体"/>
                <w:lang w:val="en-US" w:eastAsia="zh-CN"/>
              </w:rPr>
            </w:pPr>
            <w:r>
              <w:rPr>
                <w:rFonts w:hint="eastAsia" w:eastAsia="宋体"/>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宋体"/>
                <w:lang w:val="en-US" w:eastAsia="zh-CN"/>
              </w:rPr>
            </w:pPr>
            <w:r>
              <w:rPr>
                <w:rFonts w:hint="eastAsia" w:eastAsia="宋体"/>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宋体"/>
                <w:lang w:val="en-US" w:eastAsia="zh-CN"/>
              </w:rPr>
            </w:pPr>
            <w:r>
              <w:rPr>
                <w:rFonts w:hint="eastAsia" w:eastAsia="宋体"/>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宋体" w:hAnsi="宋体" w:eastAsia="宋体" w:cs="宋体"/>
                <w:kern w:val="0"/>
                <w:sz w:val="20"/>
                <w:szCs w:val="20"/>
              </w:rPr>
              <w:t>二、上年结转政府信息公开申请数量</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宋体"/>
                <w:lang w:val="en-US" w:eastAsia="zh-CN"/>
              </w:rPr>
            </w:pPr>
            <w:r>
              <w:rPr>
                <w:rFonts w:hint="eastAsia" w:eastAsia="宋体"/>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宋体"/>
                <w:lang w:val="en-US" w:eastAsia="zh-CN"/>
              </w:rPr>
            </w:pPr>
            <w:r>
              <w:rPr>
                <w:rFonts w:hint="eastAsia" w:eastAsia="宋体"/>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宋体"/>
                <w:lang w:val="en-US" w:eastAsia="zh-CN"/>
              </w:rPr>
            </w:pPr>
            <w:r>
              <w:rPr>
                <w:rFonts w:hint="eastAsia" w:eastAsia="宋体"/>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宋体"/>
                <w:lang w:val="en-US" w:eastAsia="zh-CN"/>
              </w:rPr>
            </w:pPr>
            <w:r>
              <w:rPr>
                <w:rFonts w:hint="eastAsia" w:eastAsia="宋体"/>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pPr>
            <w:r>
              <w:rPr>
                <w:rFonts w:hint="eastAsia" w:ascii="宋体" w:hAnsi="宋体" w:eastAsia="宋体" w:cs="宋体"/>
                <w:kern w:val="0"/>
                <w:sz w:val="20"/>
                <w:szCs w:val="20"/>
              </w:rPr>
              <w:t>三、本年度办理结果</w:t>
            </w:r>
          </w:p>
        </w:tc>
        <w:tc>
          <w:tcPr>
            <w:tcW w:w="2140"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楷体" w:hAnsi="楷体" w:eastAsia="楷体" w:cs="楷体"/>
                <w:kern w:val="0"/>
                <w:sz w:val="20"/>
                <w:szCs w:val="20"/>
              </w:rPr>
              <w:t>（一）予以公开</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宋体"/>
                <w:lang w:val="en-US" w:eastAsia="zh-CN"/>
              </w:rPr>
            </w:pPr>
            <w:r>
              <w:rPr>
                <w:rFonts w:hint="eastAsia" w:eastAsia="宋体"/>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宋体"/>
                <w:lang w:val="en-US" w:eastAsia="zh-CN"/>
              </w:rPr>
            </w:pPr>
            <w:r>
              <w:rPr>
                <w:rFonts w:hint="eastAsia" w:eastAsia="宋体"/>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宋体"/>
                <w:lang w:val="en-US" w:eastAsia="zh-CN"/>
              </w:rPr>
            </w:pPr>
            <w:r>
              <w:rPr>
                <w:rFonts w:hint="eastAsia" w:eastAsia="宋体"/>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宋体"/>
                <w:lang w:val="en-US" w:eastAsia="zh-CN"/>
              </w:rPr>
            </w:pPr>
            <w:r>
              <w:rPr>
                <w:rFonts w:hint="eastAsia" w:eastAsia="宋体"/>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宋体"/>
                <w:lang w:val="en-US" w:eastAsia="zh-CN"/>
              </w:rPr>
            </w:pPr>
            <w:r>
              <w:rPr>
                <w:rFonts w:hint="eastAsia" w:eastAsia="宋体"/>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宋体"/>
                <w:lang w:val="en-US" w:eastAsia="zh-CN"/>
              </w:rPr>
            </w:pPr>
            <w:r>
              <w:rPr>
                <w:rFonts w:hint="eastAsia" w:eastAsia="宋体"/>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sz w:val="24"/>
                <w:szCs w:val="24"/>
              </w:rPr>
            </w:pPr>
          </w:p>
        </w:tc>
        <w:tc>
          <w:tcPr>
            <w:tcW w:w="2140"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楷体" w:hAnsi="楷体" w:eastAsia="楷体" w:cs="楷体"/>
                <w:kern w:val="0"/>
                <w:sz w:val="20"/>
                <w:szCs w:val="20"/>
              </w:rPr>
              <w:t>（二）部分公开（区分处理的，只计这一情形，不计其他情形）</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宋体"/>
                <w:lang w:val="en-US" w:eastAsia="zh-CN"/>
              </w:rPr>
            </w:pPr>
            <w:r>
              <w:rPr>
                <w:rFonts w:hint="eastAsia" w:eastAsia="宋体"/>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宋体"/>
                <w:lang w:val="en-US" w:eastAsia="zh-CN"/>
              </w:rPr>
            </w:pPr>
            <w:r>
              <w:rPr>
                <w:rFonts w:hint="eastAsia" w:eastAsia="宋体"/>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宋体"/>
                <w:lang w:val="en-US" w:eastAsia="zh-CN"/>
              </w:rPr>
            </w:pPr>
            <w:r>
              <w:rPr>
                <w:rFonts w:hint="eastAsia" w:eastAsia="宋体"/>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宋体"/>
                <w:lang w:val="en-US" w:eastAsia="zh-CN"/>
              </w:rPr>
            </w:pPr>
            <w:r>
              <w:rPr>
                <w:rFonts w:hint="eastAsia" w:eastAsia="宋体"/>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宋体"/>
                <w:lang w:val="en-US" w:eastAsia="zh-CN"/>
              </w:rPr>
            </w:pPr>
            <w:r>
              <w:rPr>
                <w:rFonts w:hint="eastAsia" w:eastAsia="宋体"/>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楷体" w:hAnsi="楷体" w:eastAsia="楷体" w:cs="楷体"/>
                <w:kern w:val="0"/>
                <w:sz w:val="20"/>
                <w:szCs w:val="20"/>
              </w:rPr>
              <w:t>（三）不予公开</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楷体" w:hAnsi="楷体" w:eastAsia="楷体" w:cs="楷体"/>
                <w:kern w:val="0"/>
                <w:sz w:val="20"/>
                <w:szCs w:val="20"/>
              </w:rPr>
              <w:t>1.属于国家秘密</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楷体" w:hAnsi="楷体" w:eastAsia="楷体" w:cs="楷体"/>
                <w:kern w:val="0"/>
                <w:sz w:val="20"/>
                <w:szCs w:val="20"/>
              </w:rPr>
              <w:t>2.其他法律行政法规禁止公开</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楷体" w:hAnsi="楷体" w:eastAsia="楷体" w:cs="楷体"/>
                <w:kern w:val="0"/>
                <w:sz w:val="20"/>
                <w:szCs w:val="20"/>
              </w:rPr>
              <w:t>3.危及“三安全一稳定”</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楷体" w:hAnsi="楷体" w:eastAsia="楷体" w:cs="楷体"/>
                <w:kern w:val="0"/>
                <w:sz w:val="20"/>
                <w:szCs w:val="20"/>
              </w:rPr>
              <w:t>4.保护第三方合法权益</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楷体" w:hAnsi="楷体" w:eastAsia="楷体" w:cs="楷体"/>
                <w:kern w:val="0"/>
                <w:sz w:val="20"/>
                <w:szCs w:val="20"/>
              </w:rPr>
              <w:t>5.属于三类内部事务信息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楷体" w:hAnsi="楷体" w:eastAsia="楷体" w:cs="楷体"/>
                <w:kern w:val="0"/>
                <w:sz w:val="20"/>
                <w:szCs w:val="20"/>
              </w:rPr>
              <w:t>6.属于四类过程性信息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楷体" w:hAnsi="楷体" w:eastAsia="楷体" w:cs="楷体"/>
                <w:kern w:val="0"/>
                <w:sz w:val="20"/>
                <w:szCs w:val="20"/>
              </w:rPr>
              <w:t>7.属于行政执法案卷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楷体" w:hAnsi="楷体" w:eastAsia="楷体" w:cs="楷体"/>
                <w:kern w:val="0"/>
                <w:sz w:val="20"/>
                <w:szCs w:val="20"/>
              </w:rPr>
              <w:t>8.属于行政查询事项</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楷体" w:hAnsi="楷体" w:eastAsia="楷体" w:cs="楷体"/>
                <w:kern w:val="0"/>
                <w:sz w:val="20"/>
                <w:szCs w:val="20"/>
              </w:rPr>
              <w:t>（四）无法提供</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楷体" w:hAnsi="楷体" w:eastAsia="楷体" w:cs="楷体"/>
                <w:kern w:val="0"/>
                <w:sz w:val="20"/>
                <w:szCs w:val="20"/>
              </w:rPr>
              <w:t>1.本机关不掌握相关政府信息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楷体" w:hAnsi="楷体" w:eastAsia="楷体" w:cs="楷体"/>
                <w:kern w:val="0"/>
                <w:sz w:val="20"/>
                <w:szCs w:val="20"/>
              </w:rPr>
              <w:t>2.没有现成信息需要另行制作</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楷体" w:hAnsi="楷体" w:eastAsia="楷体" w:cs="楷体"/>
                <w:kern w:val="0"/>
                <w:sz w:val="20"/>
                <w:szCs w:val="20"/>
              </w:rPr>
              <w:t>3.补正后申请内容仍不</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5" w:hRule="atLeast"/>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楷体" w:hAnsi="楷体" w:eastAsia="楷体" w:cs="楷体"/>
                <w:kern w:val="0"/>
                <w:sz w:val="20"/>
                <w:szCs w:val="20"/>
              </w:rPr>
              <w:t>（五）不予处理</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楷体" w:hAnsi="楷体" w:eastAsia="楷体" w:cs="楷体"/>
                <w:kern w:val="0"/>
                <w:sz w:val="20"/>
                <w:szCs w:val="20"/>
              </w:rPr>
              <w:t>1.信访举报投诉类申请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楷体" w:hAnsi="楷体" w:eastAsia="楷体" w:cs="楷体"/>
                <w:kern w:val="0"/>
                <w:sz w:val="20"/>
                <w:szCs w:val="20"/>
              </w:rPr>
              <w:t>2.重复申请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楷体" w:hAnsi="楷体" w:eastAsia="楷体" w:cs="楷体"/>
                <w:kern w:val="0"/>
                <w:sz w:val="20"/>
                <w:szCs w:val="20"/>
              </w:rPr>
              <w:t>3.要求提供公开出版物</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楷体" w:hAnsi="楷体" w:eastAsia="楷体" w:cs="楷体"/>
                <w:kern w:val="0"/>
                <w:sz w:val="20"/>
                <w:szCs w:val="20"/>
              </w:rPr>
              <w:t>4.无正当理由大量反复申请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pPr>
            <w:r>
              <w:rPr>
                <w:rFonts w:hint="eastAsia" w:ascii="楷体" w:hAnsi="楷体" w:eastAsia="楷体" w:cs="楷体"/>
                <w:kern w:val="0"/>
                <w:sz w:val="20"/>
                <w:szCs w:val="20"/>
              </w:rPr>
              <w:t>5.要求行政机关确认或重新出具已获取信息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4" w:hRule="atLeast"/>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pPr>
            <w:r>
              <w:rPr>
                <w:rFonts w:hint="eastAsia" w:ascii="楷体" w:hAnsi="楷体" w:eastAsia="楷体" w:cs="楷体"/>
                <w:kern w:val="0"/>
                <w:sz w:val="20"/>
                <w:szCs w:val="20"/>
              </w:rPr>
              <w:t>（六）其他处理</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楷体" w:hAnsi="楷体" w:eastAsia="楷体" w:cs="楷体"/>
                <w:kern w:val="0"/>
                <w:sz w:val="20"/>
                <w:szCs w:val="20"/>
                <w:lang w:val="en-US" w:eastAsia="zh-CN"/>
              </w:rPr>
            </w:pPr>
            <w:r>
              <w:rPr>
                <w:rFonts w:hint="eastAsia" w:ascii="楷体" w:hAnsi="楷体" w:eastAsia="楷体" w:cs="楷体"/>
                <w:kern w:val="0"/>
                <w:sz w:val="20"/>
                <w:szCs w:val="20"/>
                <w:lang w:val="en-US" w:eastAsia="zh-CN"/>
              </w:rPr>
              <w:t>1.申请人无正当理由逾期不补正、行政机关不再处理其政府信息公开申请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pPr>
          </w:p>
        </w:tc>
        <w:tc>
          <w:tcPr>
            <w:tcW w:w="128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楷体" w:hAnsi="楷体" w:eastAsia="楷体" w:cs="楷体"/>
                <w:kern w:val="0"/>
                <w:sz w:val="20"/>
                <w:szCs w:val="20"/>
                <w:lang w:val="en-US" w:eastAsia="zh-CN"/>
              </w:rPr>
            </w:pPr>
            <w:r>
              <w:rPr>
                <w:rFonts w:hint="eastAsia" w:ascii="楷体" w:hAnsi="楷体" w:eastAsia="楷体" w:cs="楷体"/>
                <w:kern w:val="0"/>
                <w:sz w:val="20"/>
                <w:szCs w:val="20"/>
                <w:lang w:val="en-US" w:eastAsia="zh-CN"/>
              </w:rPr>
              <w:t>2.申请人逾期未按收费通知要求缴纳费用、行政机关不再处理其政府信息公开申请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rPr>
                <w:rFonts w:hint="default" w:ascii="楷体" w:hAnsi="楷体" w:eastAsia="楷体" w:cs="楷体"/>
                <w:kern w:val="0"/>
                <w:sz w:val="20"/>
                <w:szCs w:val="20"/>
                <w:lang w:val="en-US" w:eastAsia="zh-CN"/>
              </w:rPr>
            </w:pPr>
            <w:r>
              <w:rPr>
                <w:rFonts w:hint="eastAsia" w:ascii="楷体" w:hAnsi="楷体" w:eastAsia="楷体" w:cs="楷体"/>
                <w:kern w:val="0"/>
                <w:sz w:val="20"/>
                <w:szCs w:val="20"/>
                <w:lang w:val="en-US" w:eastAsia="zh-CN"/>
              </w:rPr>
              <w:t>3.其他</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textAlignment w:val="auto"/>
              <w:rPr>
                <w:rFonts w:ascii="宋体"/>
                <w:sz w:val="24"/>
                <w:szCs w:val="24"/>
              </w:rPr>
            </w:pPr>
          </w:p>
        </w:tc>
        <w:tc>
          <w:tcPr>
            <w:tcW w:w="2140"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pPr>
            <w:r>
              <w:rPr>
                <w:rFonts w:hint="eastAsia" w:ascii="楷体" w:hAnsi="楷体" w:eastAsia="楷体" w:cs="楷体"/>
                <w:kern w:val="0"/>
                <w:sz w:val="20"/>
                <w:szCs w:val="20"/>
              </w:rPr>
              <w:t>（七）总计</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left"/>
              <w:textAlignment w:val="auto"/>
            </w:pPr>
            <w:r>
              <w:rPr>
                <w:rFonts w:hint="eastAsia" w:ascii="宋体" w:hAnsi="宋体" w:eastAsia="宋体" w:cs="宋体"/>
                <w:kern w:val="0"/>
                <w:sz w:val="20"/>
                <w:szCs w:val="20"/>
              </w:rPr>
              <w:t>四、结转下年度继续办理</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宋体"/>
                <w:lang w:val="en-US" w:eastAsia="zh-CN"/>
              </w:rPr>
            </w:pPr>
            <w:r>
              <w:rPr>
                <w:rFonts w:hint="eastAsia" w:eastAsia="宋体"/>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宋体" w:eastAsia="宋体"/>
                <w:sz w:val="24"/>
                <w:szCs w:val="24"/>
                <w:lang w:val="en-US" w:eastAsia="zh-CN"/>
              </w:rPr>
            </w:pPr>
            <w:r>
              <w:rPr>
                <w:rFonts w:hint="eastAsia" w:ascii="宋体" w:eastAsia="宋体"/>
                <w:sz w:val="24"/>
                <w:szCs w:val="24"/>
                <w:lang w:val="en-US" w:eastAsia="zh-CN"/>
              </w:rPr>
              <w:t>0</w:t>
            </w:r>
          </w:p>
        </w:tc>
      </w:tr>
    </w:tbl>
    <w:p>
      <w:pPr>
        <w:pStyle w:val="4"/>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、政府信息公开行政复议、行政诉讼情况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宋体"/>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宋体"/>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宋体"/>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Theme="minorEastAsia"/>
                <w:lang w:val="en-US" w:eastAsia="zh-CN"/>
              </w:rPr>
            </w:pPr>
            <w:r>
              <w:rPr>
                <w:rFonts w:hint="eastAsia"/>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eastAsia="宋体"/>
                <w:lang w:val="en-US" w:eastAsia="zh-CN"/>
              </w:rPr>
            </w:pPr>
            <w:r>
              <w:rPr>
                <w:rFonts w:hint="eastAsia" w:eastAsia="宋体"/>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宋体" w:eastAsia="宋体"/>
                <w:sz w:val="24"/>
                <w:szCs w:val="24"/>
                <w:lang w:val="en-US" w:eastAsia="zh-CN"/>
              </w:rPr>
            </w:pPr>
            <w:r>
              <w:rPr>
                <w:rFonts w:hint="eastAsia" w:ascii="宋体" w:eastAsia="宋体"/>
                <w:sz w:val="24"/>
                <w:szCs w:val="24"/>
                <w:lang w:val="en-US" w:eastAsia="zh-CN"/>
              </w:rPr>
              <w:t>0</w:t>
            </w:r>
          </w:p>
        </w:tc>
      </w:tr>
    </w:tbl>
    <w:p>
      <w:pPr>
        <w:pStyle w:val="4"/>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ascii="黑体" w:hAnsi="黑体" w:eastAsia="黑体" w:cs="黑体"/>
          <w:sz w:val="32"/>
          <w:szCs w:val="32"/>
        </w:rPr>
      </w:pPr>
      <w:bookmarkStart w:id="0" w:name="_GoBack"/>
      <w:bookmarkEnd w:id="0"/>
      <w:r>
        <w:rPr>
          <w:rFonts w:hint="eastAsia" w:ascii="黑体" w:hAnsi="黑体" w:eastAsia="黑体" w:cs="黑体"/>
          <w:sz w:val="32"/>
          <w:szCs w:val="32"/>
          <w:lang w:eastAsia="zh-CN"/>
        </w:rPr>
        <w:t>五</w:t>
      </w:r>
      <w:r>
        <w:rPr>
          <w:rFonts w:hint="eastAsia" w:ascii="黑体" w:hAnsi="黑体" w:eastAsia="黑体" w:cs="黑体"/>
          <w:sz w:val="32"/>
          <w:szCs w:val="32"/>
        </w:rPr>
        <w:t>、存在的主要问题和改进情况</w:t>
      </w:r>
    </w:p>
    <w:p>
      <w:pPr>
        <w:pStyle w:val="4"/>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存在的主要问题：</w:t>
      </w:r>
      <w:r>
        <w:rPr>
          <w:rFonts w:hint="eastAsia" w:ascii="仿宋_GB2312" w:hAnsi="仿宋_GB2312" w:eastAsia="仿宋_GB2312" w:cs="仿宋_GB2312"/>
          <w:sz w:val="32"/>
          <w:szCs w:val="32"/>
          <w:lang w:val="en-US" w:eastAsia="zh-CN"/>
        </w:rPr>
        <w:t xml:space="preserve">单位政务公开工作人员业务能力不强，政务公开渠道过于单一，单位个别同志对政务公开的重要性、保密性、紧迫性认识不足，思想上没有引起足够重视。 </w:t>
      </w:r>
    </w:p>
    <w:p>
      <w:pPr>
        <w:pStyle w:val="4"/>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改进措施：</w:t>
      </w:r>
      <w:r>
        <w:rPr>
          <w:rFonts w:hint="eastAsia" w:ascii="仿宋_GB2312" w:hAnsi="仿宋_GB2312" w:eastAsia="仿宋_GB2312" w:cs="仿宋_GB2312"/>
          <w:sz w:val="32"/>
          <w:szCs w:val="32"/>
          <w:lang w:val="en-US" w:eastAsia="zh-CN"/>
        </w:rPr>
        <w:t>一是继续加强我单位政务公开的学习力度，利用每周例会时间深入学习有关文件精神，进一步提高全体干部职工保密意识;二是不断完善单位的信息公开制度，严格落实规章制度;三是加强信息公开保密检查，确保单位和个人不出现失泄密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20" w:lineRule="exact"/>
        <w:ind w:right="0" w:firstLine="640" w:firstLineChars="200"/>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b w:val="0"/>
          <w:bCs w:val="0"/>
          <w:i w:val="0"/>
          <w:iCs w:val="0"/>
          <w:caps w:val="0"/>
          <w:color w:val="auto"/>
          <w:spacing w:val="0"/>
          <w:kern w:val="0"/>
          <w:sz w:val="32"/>
          <w:szCs w:val="32"/>
          <w:shd w:val="clear" w:fill="FFFFFF"/>
          <w:lang w:val="en-US" w:eastAsia="zh-CN" w:bidi="ar"/>
        </w:rPr>
        <w:t>六、其他需要报告的事项</w:t>
      </w:r>
    </w:p>
    <w:p>
      <w:pPr>
        <w:pStyle w:val="4"/>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pStyle w:val="4"/>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lang w:eastAsia="zh-CN"/>
        </w:rPr>
      </w:pPr>
    </w:p>
    <w:p>
      <w:pPr>
        <w:pStyle w:val="4"/>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lang w:eastAsia="zh-CN"/>
        </w:rPr>
      </w:pPr>
    </w:p>
    <w:p>
      <w:pPr>
        <w:pStyle w:val="4"/>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夏县民政局</w:t>
      </w:r>
    </w:p>
    <w:p>
      <w:pPr>
        <w:pStyle w:val="4"/>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2024年1月24日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620" w:lineRule="exact"/>
        <w:ind w:left="0" w:right="0" w:firstLine="67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8"/>
          <w:sz w:val="32"/>
          <w:szCs w:val="32"/>
          <w:shd w:val="clear" w:fill="FFFFFF"/>
          <w:lang w:val="en-US" w:eastAsia="zh-CN"/>
        </w:rPr>
        <w:t xml:space="preserve">        </w:t>
      </w:r>
      <w:r>
        <w:rPr>
          <w:rFonts w:hint="eastAsia" w:ascii="仿宋_GB2312" w:hAnsi="仿宋_GB2312" w:eastAsia="仿宋_GB2312" w:cs="仿宋_GB2312"/>
          <w:sz w:val="32"/>
          <w:szCs w:val="32"/>
          <w:lang w:val="en-US" w:eastAsia="zh-CN"/>
        </w:rPr>
        <w:t xml:space="preserve">          </w:t>
      </w:r>
    </w:p>
    <w:p/>
    <w:sectPr>
      <w:footerReference r:id="rId3" w:type="default"/>
      <w:pgSz w:w="11906" w:h="16838"/>
      <w:pgMar w:top="1871" w:right="1474" w:bottom="1871" w:left="1587" w:header="850"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- 1 -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- 1 -</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iMGVkNTk2YjU1MmZkZmZhYmNkM2ExZTZhZTVlNDUifQ=="/>
  </w:docVars>
  <w:rsids>
    <w:rsidRoot w:val="00000000"/>
    <w:rsid w:val="2ED717D6"/>
    <w:rsid w:val="2FD17B4B"/>
    <w:rsid w:val="36EA1710"/>
    <w:rsid w:val="4B77336F"/>
    <w:rsid w:val="61A70CF7"/>
    <w:rsid w:val="6C405F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qFormat/>
    <w:uiPriority w:val="0"/>
    <w:pPr>
      <w:ind w:firstLine="640" w:firstLineChars="200"/>
    </w:pPr>
    <w:rPr>
      <w:rFonts w:ascii="Times New Roman"/>
      <w:szCs w:val="24"/>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Normal (Web)"/>
    <w:basedOn w:val="1"/>
    <w:autoRedefine/>
    <w:qFormat/>
    <w:uiPriority w:val="0"/>
    <w:pPr>
      <w:jc w:val="left"/>
    </w:pPr>
    <w:rPr>
      <w:rFonts w:cs="Times New Roman"/>
      <w:kern w:val="0"/>
      <w:sz w:val="24"/>
    </w:rPr>
  </w:style>
  <w:style w:type="paragraph" w:styleId="5">
    <w:name w:val="Body Text First Indent 2"/>
    <w:basedOn w:val="2"/>
    <w:next w:val="1"/>
    <w:autoRedefine/>
    <w:qFormat/>
    <w:uiPriority w:val="0"/>
    <w:pPr>
      <w:spacing w:after="120"/>
      <w:ind w:left="420" w:leftChars="200" w:firstLine="420"/>
    </w:pPr>
    <w:rPr>
      <w:rFonts w:ascii="仿宋_GB2312"/>
      <w:snapToGrid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WPS_1578742976</cp:lastModifiedBy>
  <cp:lastPrinted>2024-01-24T08:00:02Z</cp:lastPrinted>
  <dcterms:modified xsi:type="dcterms:W3CDTF">2024-01-24T08:00:54Z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35ACCB3E982D4C099F9C36431553442E_12</vt:lpwstr>
  </property>
</Properties>
</file>