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62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夏县文化和旅游局</w:t>
      </w:r>
    </w:p>
    <w:p>
      <w:pPr>
        <w:pStyle w:val="6"/>
        <w:widowControl/>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年政府信息公开工作年度报告</w:t>
      </w:r>
    </w:p>
    <w:bookmarkEnd w:id="0"/>
    <w:p>
      <w:pPr>
        <w:pStyle w:val="6"/>
        <w:widowControl/>
        <w:spacing w:line="620" w:lineRule="exact"/>
        <w:ind w:firstLine="640" w:firstLineChars="200"/>
        <w:jc w:val="both"/>
        <w:rPr>
          <w:rFonts w:ascii="黑体" w:hAnsi="黑体" w:eastAsia="黑体" w:cs="黑体"/>
          <w:sz w:val="32"/>
          <w:szCs w:val="32"/>
        </w:rPr>
      </w:pPr>
    </w:p>
    <w:p>
      <w:pPr>
        <w:pStyle w:val="6"/>
        <w:widowControl/>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一、总体情况</w:t>
      </w:r>
    </w:p>
    <w:p>
      <w:pPr>
        <w:pStyle w:val="6"/>
        <w:widowControl/>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年，县文化和旅游局政务公开工作以习近平新时代中国特色社会主义思想为指导，深入贯彻落实《中华人民共和国政府信息公开条例》，围绕中央、省、市、县关于政务公开工作的决策部署，遵循公正、公平、合法、便民的原则，推进政务公开工作常态化、制度化、规范化。 </w:t>
      </w:r>
    </w:p>
    <w:p>
      <w:pPr>
        <w:widowControl/>
        <w:shd w:val="clear" w:color="auto" w:fill="FFFFFF"/>
        <w:spacing w:line="600" w:lineRule="exact"/>
        <w:ind w:firstLine="480"/>
        <w:rPr>
          <w:rFonts w:ascii="楷体_GB2312" w:hAnsi="楷体_GB2312" w:eastAsia="楷体_GB2312" w:cs="楷体_GB2312"/>
          <w:b/>
          <w:bCs/>
          <w:sz w:val="32"/>
          <w:szCs w:val="32"/>
        </w:rPr>
      </w:pPr>
      <w:r>
        <w:rPr>
          <w:rFonts w:hint="eastAsia" w:ascii="楷体_GB2312" w:hAnsi="楷体_GB2312" w:eastAsia="楷体_GB2312" w:cs="楷体_GB2312"/>
          <w:b/>
          <w:bCs/>
          <w:kern w:val="0"/>
          <w:sz w:val="32"/>
          <w:szCs w:val="32"/>
          <w:shd w:val="clear" w:color="auto" w:fill="FFFFFF"/>
        </w:rPr>
        <w:t>（一）主动公开情况</w:t>
      </w:r>
    </w:p>
    <w:p>
      <w:pPr>
        <w:pStyle w:val="6"/>
        <w:widowControl/>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通过政府网站向社会主动公开各类信息</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条，其中政策信息</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条，工作动态</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条，行政执法类信息</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条，其它信息3条，极大提升了文化旅游工作的透明度和公信力。 </w:t>
      </w:r>
    </w:p>
    <w:p>
      <w:pPr>
        <w:widowControl/>
        <w:shd w:val="clear" w:color="auto" w:fill="FFFFFF"/>
        <w:spacing w:line="600" w:lineRule="exact"/>
        <w:ind w:firstLine="480"/>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（二）依申请公开情况</w:t>
      </w:r>
    </w:p>
    <w:p>
      <w:pPr>
        <w:widowControl/>
        <w:shd w:val="clear" w:color="auto" w:fill="FFFFFF"/>
        <w:spacing w:line="600" w:lineRule="exact"/>
        <w:ind w:firstLine="480"/>
        <w:rPr>
          <w:rFonts w:hint="eastAsia" w:ascii="仿宋_GB2312" w:hAnsi="仿宋_GB2312" w:eastAsia="仿宋_GB2312" w:cs="仿宋_GB2312"/>
          <w:b w:val="0"/>
          <w:bCs w:val="0"/>
          <w:kern w:val="0"/>
          <w:sz w:val="32"/>
          <w:szCs w:val="32"/>
          <w:shd w:val="clear" w:color="auto" w:fill="FFFFFF"/>
          <w:lang w:val="en-US" w:eastAsia="zh-CN"/>
        </w:rPr>
      </w:pPr>
      <w:r>
        <w:rPr>
          <w:rFonts w:hint="eastAsia" w:ascii="仿宋_GB2312" w:hAnsi="仿宋_GB2312" w:eastAsia="仿宋_GB2312" w:cs="仿宋_GB2312"/>
          <w:b w:val="0"/>
          <w:bCs w:val="0"/>
          <w:kern w:val="0"/>
          <w:sz w:val="32"/>
          <w:szCs w:val="32"/>
          <w:shd w:val="clear" w:color="auto" w:fill="FFFFFF"/>
          <w:lang w:val="en-US" w:eastAsia="zh-CN"/>
        </w:rPr>
        <w:t>2023年度夏县文化和旅游局未收到政府信息公开申请。</w:t>
      </w:r>
    </w:p>
    <w:p>
      <w:pPr>
        <w:widowControl/>
        <w:shd w:val="clear" w:color="auto" w:fill="FFFFFF"/>
        <w:spacing w:line="600" w:lineRule="exact"/>
        <w:ind w:firstLine="480"/>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（三）政府信息管理情况</w:t>
      </w:r>
    </w:p>
    <w:p>
      <w:pPr>
        <w:pStyle w:val="6"/>
        <w:widowControl/>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政务公开各项制度，我们按照“谁分管、谁公开、谁负责”、“谁制定谁公开，谁起草谁解读”的工作原则，围绕责任分解、责任考核、责任追究三个关键环节，将政务公开融入日常工作，狠抓贯彻落实。</w:t>
      </w:r>
    </w:p>
    <w:p>
      <w:pPr>
        <w:widowControl/>
        <w:shd w:val="clear" w:color="auto" w:fill="FFFFFF"/>
        <w:spacing w:line="600" w:lineRule="exact"/>
        <w:ind w:firstLine="480"/>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（四）政府信息公开平台建设情况</w:t>
      </w:r>
    </w:p>
    <w:p>
      <w:pPr>
        <w:pStyle w:val="6"/>
        <w:widowControl/>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我们依托政府网站，把公开信息、回应关切和提供服务作为密切联系人民群众的重要桥梁、重要载体和重要平台，切实保障人民群众的知情权、监督权。</w:t>
      </w:r>
    </w:p>
    <w:p>
      <w:pPr>
        <w:widowControl/>
        <w:shd w:val="clear" w:color="auto" w:fill="FFFFFF"/>
        <w:spacing w:line="600" w:lineRule="exact"/>
        <w:ind w:firstLine="643" w:firstLineChars="20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（五）监督保障情况</w:t>
      </w:r>
    </w:p>
    <w:p>
      <w:pPr>
        <w:pStyle w:val="6"/>
        <w:widowControl/>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为加强对信息公开工作的领导，我局根据工作需要由局主要领导亲自抓，各股室负责人对本部门的政府信息公开工作负责，形成一级抓一级，层层抓落实的责任体系，确保公开信息及时准确。</w:t>
      </w:r>
    </w:p>
    <w:p>
      <w:pPr>
        <w:pStyle w:val="6"/>
        <w:widowControl/>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7"/>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ascii="宋体" w:hAnsi="宋体" w:eastAsia="宋体" w:cs="宋体"/>
                <w:kern w:val="0"/>
                <w:sz w:val="20"/>
                <w:szCs w:val="20"/>
              </w:rPr>
              <w:t>本年</w:t>
            </w:r>
            <w:r>
              <w:rPr>
                <w:rFonts w:hint="eastAsia" w:ascii="宋体" w:hAnsi="宋体" w:eastAsia="宋体" w:cs="宋体"/>
                <w:kern w:val="0"/>
                <w:sz w:val="20"/>
                <w:szCs w:val="20"/>
              </w:rPr>
              <w:br w:type="textWrapping"/>
            </w:r>
            <w:r>
              <w:rPr>
                <w:rFonts w:ascii="Calibri" w:hAnsi="Calibri" w:eastAsia="宋体" w:cs="Times New Roman"/>
                <w:kern w:val="0"/>
                <w:sz w:val="20"/>
                <w:szCs w:val="20"/>
              </w:rPr>
              <w:t>制作</w:t>
            </w:r>
            <w:r>
              <w:rPr>
                <w:rFonts w:hint="eastAsia" w:ascii="Calibri" w:hAnsi="Calibri" w:eastAsia="宋体" w:cs="Times New Roman"/>
                <w:kern w:val="0"/>
                <w:sz w:val="20"/>
                <w:szCs w:val="20"/>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rPr>
            </w:pPr>
            <w:r>
              <w:rPr>
                <w:rFonts w:hint="eastAsia" w:ascii="宋体" w:hAnsi="宋体" w:eastAsia="宋体" w:cs="宋体"/>
                <w:kern w:val="0"/>
                <w:sz w:val="20"/>
                <w:szCs w:val="20"/>
              </w:rPr>
              <w:t>本年废止</w:t>
            </w:r>
          </w:p>
          <w:p>
            <w:pPr>
              <w:widowControl/>
              <w:spacing w:after="180"/>
              <w:jc w:val="center"/>
            </w:pPr>
            <w:r>
              <w:rPr>
                <w:rFonts w:ascii="Calibri" w:hAnsi="Calibri" w:eastAsia="宋体" w:cs="Times New Roman"/>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c>
          <w:tcPr>
            <w:tcW w:w="14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c>
          <w:tcPr>
            <w:tcW w:w="209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rPr>
              <w:t>行政规范性文件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c>
          <w:tcPr>
            <w:tcW w:w="14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c>
          <w:tcPr>
            <w:tcW w:w="209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jc w:val="center"/>
              <w:rPr>
                <w:rFonts w:ascii="宋体" w:hAnsi="宋体" w:eastAsia="宋体" w:cs="宋体"/>
                <w:b/>
                <w:bCs/>
                <w:sz w:val="20"/>
                <w:szCs w:val="20"/>
              </w:rPr>
            </w:pPr>
            <w:r>
              <w:rPr>
                <w:rFonts w:hint="eastAsia" w:ascii="宋体" w:hAnsi="宋体" w:eastAsia="宋体" w:cs="宋体"/>
                <w:b/>
                <w:bCs/>
                <w:sz w:val="20"/>
                <w:szCs w:val="20"/>
              </w:rPr>
              <w:t>7</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jc w:val="center"/>
              <w:rPr>
                <w:rFonts w:ascii="宋体" w:hAnsi="宋体" w:eastAsia="宋体" w:cs="宋体"/>
                <w:b/>
                <w:bCs/>
                <w:sz w:val="20"/>
                <w:szCs w:val="20"/>
              </w:rPr>
            </w:pPr>
            <w:r>
              <w:rPr>
                <w:rFonts w:hint="eastAsia" w:ascii="宋体" w:hAnsi="宋体" w:eastAsia="宋体" w:cs="宋体"/>
                <w:b/>
                <w:bCs/>
                <w:sz w:val="20"/>
                <w:szCs w:val="20"/>
              </w:rPr>
              <w:t>0</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widowControl/>
              <w:spacing w:after="180"/>
              <w:jc w:val="center"/>
            </w:pPr>
            <w:r>
              <w:rPr>
                <w:rFonts w:hint="eastAsia"/>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r>
              <w:rPr>
                <w:rFonts w:hint="eastAsia" w:ascii="宋体" w:hAnsi="宋体" w:eastAsia="宋体" w:cs="宋体"/>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widowControl/>
              <w:spacing w:after="180"/>
              <w:jc w:val="center"/>
              <w:rPr>
                <w:rFonts w:eastAsia="宋体"/>
              </w:rPr>
            </w:pPr>
            <w:r>
              <w:rPr>
                <w:rFonts w:hint="eastAsia" w:eastAsia="宋体"/>
              </w:rPr>
              <w:t>0</w:t>
            </w:r>
          </w:p>
        </w:tc>
      </w:tr>
    </w:tbl>
    <w:p>
      <w:pPr>
        <w:pStyle w:val="6"/>
        <w:widowControl/>
        <w:spacing w:line="620" w:lineRule="exact"/>
        <w:ind w:firstLine="640" w:firstLineChars="200"/>
        <w:jc w:val="both"/>
        <w:rPr>
          <w:rFonts w:ascii="黑体" w:hAnsi="黑体" w:eastAsia="黑体" w:cs="黑体"/>
          <w:sz w:val="32"/>
          <w:szCs w:val="32"/>
        </w:rPr>
      </w:pPr>
    </w:p>
    <w:p>
      <w:pPr>
        <w:pStyle w:val="6"/>
        <w:widowControl/>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widowControl/>
              <w:spacing w:after="180"/>
              <w:jc w:val="center"/>
            </w:pPr>
            <w:r>
              <w:rPr>
                <w:rFonts w:hint="eastAsia" w:ascii="宋体" w:hAnsi="宋体" w:eastAsia="宋体" w:cs="宋体"/>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widowControl/>
              <w:spacing w:after="180"/>
              <w:jc w:val="center"/>
            </w:pPr>
            <w:r>
              <w:rPr>
                <w:rFonts w:hint="eastAsia" w:ascii="宋体" w:hAnsi="宋体" w:eastAsia="宋体" w:cs="宋体"/>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rPr>
                <w:rFonts w:ascii="宋体"/>
                <w:sz w:val="24"/>
              </w:rPr>
            </w:pPr>
          </w:p>
        </w:tc>
        <w:tc>
          <w:tcPr>
            <w:tcW w:w="1618" w:type="dxa"/>
            <w:vMerge w:val="restart"/>
            <w:tcMar>
              <w:left w:w="108" w:type="dxa"/>
              <w:right w:w="108" w:type="dxa"/>
            </w:tcMar>
            <w:vAlign w:val="center"/>
          </w:tcPr>
          <w:p>
            <w:pPr>
              <w:widowControl/>
              <w:spacing w:after="180"/>
              <w:jc w:val="center"/>
            </w:pPr>
            <w:r>
              <w:rPr>
                <w:rFonts w:hint="eastAsia" w:ascii="宋体" w:hAnsi="宋体" w:eastAsia="宋体" w:cs="宋体"/>
                <w:kern w:val="0"/>
                <w:sz w:val="20"/>
                <w:szCs w:val="20"/>
              </w:rPr>
              <w:t>自然人</w:t>
            </w:r>
          </w:p>
        </w:tc>
        <w:tc>
          <w:tcPr>
            <w:tcW w:w="4016" w:type="dxa"/>
            <w:gridSpan w:val="5"/>
            <w:tcMar>
              <w:left w:w="108" w:type="dxa"/>
              <w:right w:w="108" w:type="dxa"/>
            </w:tcMar>
            <w:vAlign w:val="center"/>
          </w:tcPr>
          <w:p>
            <w:pPr>
              <w:widowControl/>
              <w:spacing w:after="180"/>
              <w:jc w:val="center"/>
            </w:pPr>
            <w:r>
              <w:rPr>
                <w:rFonts w:hint="eastAsia" w:ascii="宋体" w:hAnsi="宋体" w:eastAsia="宋体" w:cs="宋体"/>
                <w:kern w:val="0"/>
                <w:sz w:val="20"/>
                <w:szCs w:val="20"/>
              </w:rPr>
              <w:t>法人或其他组织</w:t>
            </w:r>
          </w:p>
        </w:tc>
        <w:tc>
          <w:tcPr>
            <w:tcW w:w="679" w:type="dxa"/>
            <w:vMerge w:val="restart"/>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rPr>
                <w:rFonts w:ascii="宋体"/>
                <w:sz w:val="24"/>
              </w:rPr>
            </w:pPr>
          </w:p>
        </w:tc>
        <w:tc>
          <w:tcPr>
            <w:tcW w:w="1618" w:type="dxa"/>
            <w:vMerge w:val="continue"/>
            <w:tcMar>
              <w:left w:w="108" w:type="dxa"/>
              <w:right w:w="108" w:type="dxa"/>
            </w:tcMar>
            <w:vAlign w:val="center"/>
          </w:tcPr>
          <w:p>
            <w:pPr>
              <w:rPr>
                <w:rFonts w:ascii="宋体"/>
                <w:sz w:val="24"/>
              </w:rPr>
            </w:pPr>
          </w:p>
        </w:tc>
        <w:tc>
          <w:tcPr>
            <w:tcW w:w="756" w:type="dxa"/>
            <w:tcMar>
              <w:left w:w="108" w:type="dxa"/>
              <w:right w:w="108" w:type="dxa"/>
            </w:tcMar>
            <w:vAlign w:val="center"/>
          </w:tcPr>
          <w:p>
            <w:pPr>
              <w:widowControl/>
              <w:spacing w:after="180"/>
              <w:jc w:val="center"/>
            </w:pPr>
            <w:r>
              <w:rPr>
                <w:rFonts w:hint="eastAsia" w:ascii="宋体" w:hAnsi="宋体" w:eastAsia="宋体" w:cs="宋体"/>
                <w:kern w:val="0"/>
                <w:sz w:val="20"/>
                <w:szCs w:val="20"/>
              </w:rPr>
              <w:t>商业企业</w:t>
            </w:r>
          </w:p>
        </w:tc>
        <w:tc>
          <w:tcPr>
            <w:tcW w:w="756" w:type="dxa"/>
            <w:tcMar>
              <w:left w:w="108" w:type="dxa"/>
              <w:right w:w="108" w:type="dxa"/>
            </w:tcMar>
            <w:vAlign w:val="center"/>
          </w:tcPr>
          <w:p>
            <w:pPr>
              <w:widowControl/>
              <w:spacing w:after="180"/>
              <w:jc w:val="center"/>
            </w:pPr>
            <w:r>
              <w:rPr>
                <w:rFonts w:hint="eastAsia" w:ascii="宋体" w:hAnsi="宋体" w:eastAsia="宋体" w:cs="宋体"/>
                <w:kern w:val="0"/>
                <w:sz w:val="20"/>
                <w:szCs w:val="20"/>
              </w:rPr>
              <w:t>科研机构</w:t>
            </w:r>
          </w:p>
        </w:tc>
        <w:tc>
          <w:tcPr>
            <w:tcW w:w="815" w:type="dxa"/>
            <w:tcMar>
              <w:left w:w="108" w:type="dxa"/>
              <w:right w:w="108" w:type="dxa"/>
            </w:tcMar>
            <w:vAlign w:val="center"/>
          </w:tcPr>
          <w:p>
            <w:pPr>
              <w:widowControl/>
              <w:spacing w:after="180"/>
              <w:jc w:val="center"/>
            </w:pPr>
            <w:r>
              <w:rPr>
                <w:rFonts w:hint="eastAsia" w:ascii="宋体" w:hAnsi="宋体" w:eastAsia="宋体" w:cs="宋体"/>
                <w:kern w:val="0"/>
                <w:sz w:val="20"/>
                <w:szCs w:val="20"/>
              </w:rPr>
              <w:t>社会公益组织</w:t>
            </w:r>
          </w:p>
        </w:tc>
        <w:tc>
          <w:tcPr>
            <w:tcW w:w="976" w:type="dxa"/>
            <w:tcMar>
              <w:left w:w="108" w:type="dxa"/>
              <w:right w:w="108" w:type="dxa"/>
            </w:tcMar>
            <w:vAlign w:val="center"/>
          </w:tcPr>
          <w:p>
            <w:pPr>
              <w:widowControl/>
              <w:spacing w:after="180"/>
              <w:jc w:val="center"/>
            </w:pPr>
            <w:r>
              <w:rPr>
                <w:rFonts w:hint="eastAsia" w:ascii="宋体" w:hAnsi="宋体" w:eastAsia="宋体" w:cs="宋体"/>
                <w:kern w:val="0"/>
                <w:sz w:val="20"/>
                <w:szCs w:val="20"/>
              </w:rPr>
              <w:t>法律服务机构</w:t>
            </w:r>
          </w:p>
        </w:tc>
        <w:tc>
          <w:tcPr>
            <w:tcW w:w="713" w:type="dxa"/>
            <w:tcMar>
              <w:left w:w="108" w:type="dxa"/>
              <w:right w:w="108" w:type="dxa"/>
            </w:tcMar>
            <w:vAlign w:val="center"/>
          </w:tcPr>
          <w:p>
            <w:pPr>
              <w:widowControl/>
              <w:spacing w:after="180"/>
              <w:jc w:val="center"/>
            </w:pPr>
            <w:r>
              <w:rPr>
                <w:rFonts w:hint="eastAsia" w:ascii="宋体" w:hAnsi="宋体" w:eastAsia="宋体" w:cs="宋体"/>
                <w:kern w:val="0"/>
                <w:sz w:val="20"/>
                <w:szCs w:val="20"/>
              </w:rPr>
              <w:t>其他</w:t>
            </w:r>
          </w:p>
        </w:tc>
        <w:tc>
          <w:tcPr>
            <w:tcW w:w="679" w:type="dxa"/>
            <w:vMerge w:val="continue"/>
            <w:tcMar>
              <w:left w:w="108" w:type="dxa"/>
              <w:right w:w="108" w:type="dxa"/>
            </w:tcMar>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widowControl/>
              <w:spacing w:after="180"/>
              <w:jc w:val="left"/>
            </w:pPr>
            <w:r>
              <w:rPr>
                <w:rFonts w:hint="eastAsia" w:ascii="宋体" w:hAnsi="宋体" w:eastAsia="宋体" w:cs="宋体"/>
                <w:kern w:val="0"/>
                <w:sz w:val="20"/>
                <w:szCs w:val="20"/>
              </w:rPr>
              <w:t>一、本年新收政府信息公开申请数量</w:t>
            </w:r>
          </w:p>
        </w:tc>
        <w:tc>
          <w:tcPr>
            <w:tcW w:w="1618" w:type="dxa"/>
            <w:tcMar>
              <w:left w:w="108" w:type="dxa"/>
              <w:right w:w="108" w:type="dxa"/>
            </w:tcMar>
            <w:vAlign w:val="center"/>
          </w:tcPr>
          <w:p>
            <w:pPr>
              <w:widowControl/>
              <w:spacing w:after="180"/>
              <w:jc w:val="center"/>
              <w:rPr>
                <w:rFonts w:eastAsia="宋体"/>
              </w:rPr>
            </w:pPr>
            <w:r>
              <w:rPr>
                <w:rFonts w:hint="eastAsia" w:eastAsia="宋体"/>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rPr>
                <w:rFonts w:eastAsia="宋体"/>
              </w:rPr>
            </w:pPr>
            <w:r>
              <w:rPr>
                <w:rFonts w:hint="eastAsia" w:eastAsia="宋体"/>
              </w:rPr>
              <w:t>0</w:t>
            </w:r>
          </w:p>
        </w:tc>
        <w:tc>
          <w:tcPr>
            <w:tcW w:w="679" w:type="dxa"/>
            <w:tcMar>
              <w:left w:w="108" w:type="dxa"/>
              <w:right w:w="108" w:type="dxa"/>
            </w:tcMar>
            <w:vAlign w:val="center"/>
          </w:tcPr>
          <w:p>
            <w:pPr>
              <w:widowControl/>
              <w:spacing w:after="180"/>
              <w:jc w:val="center"/>
              <w:rPr>
                <w:rFonts w:eastAsia="宋体"/>
              </w:rPr>
            </w:pPr>
            <w:r>
              <w:rPr>
                <w:rFonts w:hint="eastAsia" w:eastAsia="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widowControl/>
              <w:spacing w:after="180"/>
              <w:jc w:val="left"/>
            </w:pPr>
            <w:r>
              <w:rPr>
                <w:rFonts w:hint="eastAsia" w:ascii="宋体" w:hAnsi="宋体" w:eastAsia="宋体" w:cs="宋体"/>
                <w:kern w:val="0"/>
                <w:sz w:val="20"/>
                <w:szCs w:val="20"/>
              </w:rPr>
              <w:t>二、上年结转政府信息公开申请数量</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rPr>
                <w:rFonts w:eastAsia="宋体"/>
              </w:rPr>
            </w:pPr>
            <w:r>
              <w:rPr>
                <w:rFonts w:hint="eastAsia" w:eastAsia="宋体"/>
              </w:rPr>
              <w:t>0</w:t>
            </w:r>
          </w:p>
        </w:tc>
        <w:tc>
          <w:tcPr>
            <w:tcW w:w="815" w:type="dxa"/>
            <w:tcMar>
              <w:left w:w="108" w:type="dxa"/>
              <w:right w:w="108" w:type="dxa"/>
            </w:tcMar>
            <w:vAlign w:val="center"/>
          </w:tcPr>
          <w:p>
            <w:pPr>
              <w:widowControl/>
              <w:spacing w:after="180"/>
              <w:jc w:val="center"/>
              <w:rPr>
                <w:rFonts w:eastAsia="宋体"/>
              </w:rPr>
            </w:pPr>
            <w:r>
              <w:rPr>
                <w:rFonts w:hint="eastAsia" w:eastAsia="宋体"/>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rPr>
                <w:rFonts w:eastAsia="宋体"/>
              </w:rPr>
            </w:pPr>
            <w:r>
              <w:rPr>
                <w:rFonts w:hint="eastAsia" w:eastAsia="宋体"/>
              </w:rPr>
              <w:t>0</w:t>
            </w:r>
          </w:p>
        </w:tc>
        <w:tc>
          <w:tcPr>
            <w:tcW w:w="679" w:type="dxa"/>
            <w:tcMar>
              <w:left w:w="108" w:type="dxa"/>
              <w:right w:w="108" w:type="dxa"/>
            </w:tcMar>
            <w:vAlign w:val="center"/>
          </w:tcPr>
          <w:p>
            <w:pPr>
              <w:widowControl/>
              <w:spacing w:after="180"/>
              <w:jc w:val="center"/>
              <w:rPr>
                <w:rFonts w:eastAsia="宋体"/>
              </w:rPr>
            </w:pPr>
            <w:r>
              <w:rPr>
                <w:rFonts w:hint="eastAsia" w:eastAsia="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widowControl/>
              <w:spacing w:after="180"/>
              <w:jc w:val="center"/>
            </w:pPr>
            <w:r>
              <w:rPr>
                <w:rFonts w:hint="eastAsia" w:ascii="宋体" w:hAnsi="宋体" w:eastAsia="宋体" w:cs="宋体"/>
                <w:kern w:val="0"/>
                <w:sz w:val="20"/>
                <w:szCs w:val="20"/>
              </w:rPr>
              <w:t>三、本年度办理结果</w:t>
            </w:r>
          </w:p>
        </w:tc>
        <w:tc>
          <w:tcPr>
            <w:tcW w:w="2140" w:type="dxa"/>
            <w:gridSpan w:val="2"/>
            <w:tcMar>
              <w:left w:w="108" w:type="dxa"/>
              <w:right w:w="108" w:type="dxa"/>
            </w:tcMar>
            <w:vAlign w:val="center"/>
          </w:tcPr>
          <w:p>
            <w:pPr>
              <w:widowControl/>
              <w:spacing w:after="180"/>
              <w:jc w:val="left"/>
            </w:pPr>
            <w:r>
              <w:rPr>
                <w:rFonts w:hint="eastAsia" w:ascii="楷体" w:hAnsi="楷体" w:eastAsia="楷体" w:cs="楷体"/>
                <w:kern w:val="0"/>
                <w:sz w:val="20"/>
                <w:szCs w:val="20"/>
              </w:rPr>
              <w:t>（一）予以公开</w:t>
            </w:r>
          </w:p>
        </w:tc>
        <w:tc>
          <w:tcPr>
            <w:tcW w:w="1618" w:type="dxa"/>
            <w:tcMar>
              <w:left w:w="108" w:type="dxa"/>
              <w:right w:w="108" w:type="dxa"/>
            </w:tcMar>
            <w:vAlign w:val="center"/>
          </w:tcPr>
          <w:p>
            <w:pPr>
              <w:widowControl/>
              <w:spacing w:after="180"/>
              <w:jc w:val="center"/>
              <w:rPr>
                <w:rFonts w:eastAsia="宋体"/>
              </w:rPr>
            </w:pPr>
            <w:r>
              <w:rPr>
                <w:rFonts w:hint="eastAsia" w:eastAsia="宋体"/>
              </w:rPr>
              <w:t>0</w:t>
            </w:r>
          </w:p>
        </w:tc>
        <w:tc>
          <w:tcPr>
            <w:tcW w:w="756" w:type="dxa"/>
            <w:tcMar>
              <w:left w:w="108" w:type="dxa"/>
              <w:right w:w="108" w:type="dxa"/>
            </w:tcMar>
            <w:vAlign w:val="center"/>
          </w:tcPr>
          <w:p>
            <w:pPr>
              <w:widowControl/>
              <w:spacing w:after="180"/>
              <w:jc w:val="center"/>
              <w:rPr>
                <w:rFonts w:eastAsia="宋体"/>
              </w:rPr>
            </w:pPr>
            <w:r>
              <w:rPr>
                <w:rFonts w:hint="eastAsia" w:eastAsia="宋体"/>
              </w:rPr>
              <w:t>0</w:t>
            </w:r>
          </w:p>
        </w:tc>
        <w:tc>
          <w:tcPr>
            <w:tcW w:w="756" w:type="dxa"/>
            <w:tcMar>
              <w:left w:w="108" w:type="dxa"/>
              <w:right w:w="108" w:type="dxa"/>
            </w:tcMar>
            <w:vAlign w:val="center"/>
          </w:tcPr>
          <w:p>
            <w:pPr>
              <w:widowControl/>
              <w:spacing w:after="180"/>
              <w:jc w:val="center"/>
              <w:rPr>
                <w:rFonts w:eastAsia="宋体"/>
              </w:rPr>
            </w:pPr>
            <w:r>
              <w:rPr>
                <w:rFonts w:hint="eastAsia" w:eastAsia="宋体"/>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rPr>
                <w:rFonts w:eastAsia="宋体"/>
              </w:rPr>
            </w:pPr>
            <w:r>
              <w:rPr>
                <w:rFonts w:hint="eastAsia" w:eastAsia="宋体"/>
              </w:rPr>
              <w:t>0</w:t>
            </w:r>
          </w:p>
        </w:tc>
        <w:tc>
          <w:tcPr>
            <w:tcW w:w="713" w:type="dxa"/>
            <w:tcMar>
              <w:left w:w="108" w:type="dxa"/>
              <w:right w:w="108" w:type="dxa"/>
            </w:tcMar>
            <w:vAlign w:val="center"/>
          </w:tcPr>
          <w:p>
            <w:pPr>
              <w:widowControl/>
              <w:spacing w:after="180"/>
              <w:jc w:val="center"/>
              <w:rPr>
                <w:rFonts w:eastAsia="宋体"/>
              </w:rPr>
            </w:pPr>
            <w:r>
              <w:rPr>
                <w:rFonts w:hint="eastAsia" w:eastAsia="宋体"/>
              </w:rPr>
              <w:t>0</w:t>
            </w:r>
          </w:p>
        </w:tc>
        <w:tc>
          <w:tcPr>
            <w:tcW w:w="679" w:type="dxa"/>
            <w:tcMar>
              <w:left w:w="108" w:type="dxa"/>
              <w:right w:w="108" w:type="dxa"/>
            </w:tcMar>
            <w:vAlign w:val="center"/>
          </w:tcPr>
          <w:p>
            <w:pPr>
              <w:widowControl/>
              <w:spacing w:after="180"/>
              <w:jc w:val="center"/>
              <w:rPr>
                <w:rFonts w:eastAsia="宋体"/>
              </w:rPr>
            </w:pPr>
            <w:r>
              <w:rPr>
                <w:rFonts w:hint="eastAsia" w:eastAsia="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2140" w:type="dxa"/>
            <w:gridSpan w:val="2"/>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1618" w:type="dxa"/>
            <w:tcMar>
              <w:left w:w="108" w:type="dxa"/>
              <w:right w:w="108" w:type="dxa"/>
            </w:tcMar>
            <w:vAlign w:val="center"/>
          </w:tcPr>
          <w:p>
            <w:pPr>
              <w:widowControl/>
              <w:spacing w:after="180"/>
              <w:jc w:val="center"/>
              <w:rPr>
                <w:rFonts w:eastAsia="宋体"/>
              </w:rPr>
            </w:pPr>
            <w:r>
              <w:rPr>
                <w:rFonts w:hint="eastAsia" w:eastAsia="宋体"/>
              </w:rPr>
              <w:t>0</w:t>
            </w:r>
          </w:p>
        </w:tc>
        <w:tc>
          <w:tcPr>
            <w:tcW w:w="756" w:type="dxa"/>
            <w:tcMar>
              <w:left w:w="108" w:type="dxa"/>
              <w:right w:w="108" w:type="dxa"/>
            </w:tcMar>
            <w:vAlign w:val="center"/>
          </w:tcPr>
          <w:p>
            <w:pPr>
              <w:widowControl/>
              <w:spacing w:after="180"/>
              <w:jc w:val="center"/>
              <w:rPr>
                <w:rFonts w:eastAsia="宋体"/>
              </w:rPr>
            </w:pPr>
            <w:r>
              <w:rPr>
                <w:rFonts w:hint="eastAsia" w:eastAsia="宋体"/>
              </w:rPr>
              <w:t>0</w:t>
            </w:r>
          </w:p>
        </w:tc>
        <w:tc>
          <w:tcPr>
            <w:tcW w:w="756" w:type="dxa"/>
            <w:tcMar>
              <w:left w:w="108" w:type="dxa"/>
              <w:right w:w="108" w:type="dxa"/>
            </w:tcMar>
            <w:vAlign w:val="center"/>
          </w:tcPr>
          <w:p>
            <w:pPr>
              <w:widowControl/>
              <w:spacing w:after="180"/>
              <w:jc w:val="center"/>
              <w:rPr>
                <w:rFonts w:eastAsia="宋体"/>
              </w:rPr>
            </w:pPr>
            <w:r>
              <w:rPr>
                <w:rFonts w:hint="eastAsia" w:eastAsia="宋体"/>
              </w:rPr>
              <w:t>0</w:t>
            </w:r>
          </w:p>
        </w:tc>
        <w:tc>
          <w:tcPr>
            <w:tcW w:w="815" w:type="dxa"/>
            <w:tcMar>
              <w:left w:w="108" w:type="dxa"/>
              <w:right w:w="108" w:type="dxa"/>
            </w:tcMar>
            <w:vAlign w:val="center"/>
          </w:tcPr>
          <w:p>
            <w:pPr>
              <w:widowControl/>
              <w:spacing w:after="180"/>
              <w:jc w:val="center"/>
              <w:rPr>
                <w:rFonts w:eastAsia="宋体"/>
              </w:rPr>
            </w:pPr>
            <w:r>
              <w:rPr>
                <w:rFonts w:hint="eastAsia" w:eastAsia="宋体"/>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rPr>
                <w:rFonts w:eastAsia="宋体"/>
              </w:rPr>
            </w:pPr>
            <w:r>
              <w:rPr>
                <w:rFonts w:hint="eastAsia" w:eastAsia="宋体"/>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restart"/>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1.属于国家秘密</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2.其他法律行政法规禁止公开</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3.危及“三安全一稳定”</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4.保护第三方合法权益</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5.属于三类内部事务信息</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6.属于四类过程性信息</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7.属于行政执法案卷</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8.属于行政查询事项</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restart"/>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1.本机关不掌握相关政府信息</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2.没有现成信息需要另行制作</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3.补正后申请内容仍不明确</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rPr>
                <w:rFonts w:ascii="宋体"/>
                <w:sz w:val="24"/>
              </w:rPr>
            </w:pPr>
          </w:p>
        </w:tc>
        <w:tc>
          <w:tcPr>
            <w:tcW w:w="855" w:type="dxa"/>
            <w:vMerge w:val="restart"/>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jc w:val="left"/>
            </w:pPr>
            <w:r>
              <w:rPr>
                <w:rFonts w:hint="eastAsia" w:ascii="楷体" w:hAnsi="楷体" w:eastAsia="楷体" w:cs="楷体"/>
                <w:kern w:val="0"/>
                <w:sz w:val="20"/>
                <w:szCs w:val="20"/>
              </w:rPr>
              <w:t>4.无正当理由大量反复申请</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rPr>
                <w:rFonts w:ascii="宋体"/>
                <w:sz w:val="24"/>
              </w:rPr>
            </w:pPr>
          </w:p>
        </w:tc>
        <w:tc>
          <w:tcPr>
            <w:tcW w:w="1285" w:type="dxa"/>
            <w:tcMar>
              <w:left w:w="108" w:type="dxa"/>
              <w:right w:w="108" w:type="dxa"/>
            </w:tcMar>
            <w:vAlign w:val="center"/>
          </w:tcPr>
          <w:p>
            <w:pPr>
              <w:widowControl/>
              <w:jc w:val="left"/>
            </w:pPr>
            <w:r>
              <w:rPr>
                <w:rFonts w:hint="eastAsia" w:ascii="楷体" w:hAnsi="楷体" w:eastAsia="楷体" w:cs="楷体"/>
                <w:kern w:val="0"/>
                <w:sz w:val="20"/>
                <w:szCs w:val="20"/>
              </w:rPr>
              <w:t>5.要求行政机关确认或重新出具已获取信息</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rPr>
                <w:rFonts w:ascii="宋体"/>
                <w:sz w:val="24"/>
              </w:rPr>
            </w:pPr>
          </w:p>
        </w:tc>
        <w:tc>
          <w:tcPr>
            <w:tcW w:w="855" w:type="dxa"/>
            <w:vMerge w:val="restart"/>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1285" w:type="dxa"/>
            <w:tcMar>
              <w:left w:w="108" w:type="dxa"/>
              <w:right w:w="108" w:type="dxa"/>
            </w:tcMar>
            <w:vAlign w:val="center"/>
          </w:tcPr>
          <w:p>
            <w:pPr>
              <w:widowControl/>
              <w:jc w:val="left"/>
              <w:rPr>
                <w:rFonts w:ascii="楷体" w:hAnsi="楷体" w:eastAsia="楷体" w:cs="楷体"/>
                <w:kern w:val="0"/>
                <w:sz w:val="20"/>
                <w:szCs w:val="20"/>
              </w:rPr>
            </w:pPr>
            <w:r>
              <w:rPr>
                <w:rFonts w:hint="eastAsia" w:ascii="楷体" w:hAnsi="楷体" w:eastAsia="楷体" w:cs="楷体"/>
                <w:kern w:val="0"/>
                <w:sz w:val="20"/>
                <w:szCs w:val="20"/>
              </w:rPr>
              <w:t>1.申请人无正当理由逾期不补正、行政机关不再处理其政府信息公开申请</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855" w:type="dxa"/>
            <w:vMerge w:val="continue"/>
            <w:tcMar>
              <w:left w:w="108" w:type="dxa"/>
              <w:right w:w="108" w:type="dxa"/>
            </w:tcMar>
            <w:vAlign w:val="center"/>
          </w:tcPr>
          <w:p>
            <w:pPr>
              <w:widowControl/>
              <w:spacing w:after="180"/>
              <w:jc w:val="left"/>
            </w:pPr>
          </w:p>
        </w:tc>
        <w:tc>
          <w:tcPr>
            <w:tcW w:w="1285" w:type="dxa"/>
            <w:tcMar>
              <w:left w:w="108" w:type="dxa"/>
              <w:right w:w="108" w:type="dxa"/>
            </w:tcMar>
            <w:vAlign w:val="center"/>
          </w:tcPr>
          <w:p>
            <w:pPr>
              <w:spacing w:after="180"/>
              <w:jc w:val="left"/>
              <w:rPr>
                <w:rFonts w:ascii="楷体" w:hAnsi="楷体" w:eastAsia="楷体" w:cs="楷体"/>
                <w:kern w:val="0"/>
                <w:sz w:val="20"/>
                <w:szCs w:val="20"/>
              </w:rPr>
            </w:pPr>
            <w:r>
              <w:rPr>
                <w:rFonts w:hint="eastAsia" w:ascii="楷体" w:hAnsi="楷体" w:eastAsia="楷体" w:cs="楷体"/>
                <w:kern w:val="0"/>
                <w:sz w:val="20"/>
                <w:szCs w:val="20"/>
              </w:rPr>
              <w:t>2.申请人逾期未按收费通知要求缴纳费用、行政机关不再处理其政府信息公开申请</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r>
              <w:rPr>
                <w:rFonts w:hint="eastAsia" w:ascii="宋体"/>
                <w:sz w:val="24"/>
              </w:rPr>
              <w:t>00</w:t>
            </w:r>
          </w:p>
        </w:tc>
        <w:tc>
          <w:tcPr>
            <w:tcW w:w="855" w:type="dxa"/>
            <w:vMerge w:val="continue"/>
            <w:tcMar>
              <w:left w:w="108" w:type="dxa"/>
              <w:right w:w="108" w:type="dxa"/>
            </w:tcMar>
            <w:vAlign w:val="center"/>
          </w:tcPr>
          <w:p>
            <w:pPr>
              <w:widowControl/>
              <w:spacing w:after="180"/>
              <w:jc w:val="left"/>
            </w:pPr>
          </w:p>
        </w:tc>
        <w:tc>
          <w:tcPr>
            <w:tcW w:w="1285" w:type="dxa"/>
            <w:tcMar>
              <w:left w:w="108" w:type="dxa"/>
              <w:right w:w="108" w:type="dxa"/>
            </w:tcMar>
            <w:vAlign w:val="center"/>
          </w:tcPr>
          <w:p>
            <w:pPr>
              <w:widowControl/>
              <w:spacing w:after="180"/>
              <w:jc w:val="left"/>
              <w:rPr>
                <w:rFonts w:ascii="楷体" w:hAnsi="楷体" w:eastAsia="楷体" w:cs="楷体"/>
                <w:kern w:val="0"/>
                <w:sz w:val="20"/>
                <w:szCs w:val="20"/>
              </w:rPr>
            </w:pPr>
            <w:r>
              <w:rPr>
                <w:rFonts w:hint="eastAsia" w:ascii="楷体" w:hAnsi="楷体" w:eastAsia="楷体" w:cs="楷体"/>
                <w:kern w:val="0"/>
                <w:sz w:val="20"/>
                <w:szCs w:val="20"/>
              </w:rPr>
              <w:t>3.其他</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rPr>
                <w:rFonts w:ascii="宋体"/>
                <w:sz w:val="24"/>
              </w:rPr>
            </w:pPr>
          </w:p>
        </w:tc>
        <w:tc>
          <w:tcPr>
            <w:tcW w:w="2140" w:type="dxa"/>
            <w:gridSpan w:val="2"/>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1618"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widowControl/>
              <w:spacing w:after="180"/>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widowControl/>
              <w:spacing w:after="180"/>
              <w:jc w:val="left"/>
            </w:pPr>
            <w:r>
              <w:rPr>
                <w:rFonts w:hint="eastAsia" w:ascii="宋体" w:hAnsi="宋体" w:eastAsia="宋体" w:cs="宋体"/>
                <w:kern w:val="0"/>
                <w:sz w:val="20"/>
                <w:szCs w:val="20"/>
              </w:rPr>
              <w:t>四、结转下年度继续办理</w:t>
            </w:r>
          </w:p>
        </w:tc>
        <w:tc>
          <w:tcPr>
            <w:tcW w:w="1618" w:type="dxa"/>
            <w:tcMar>
              <w:left w:w="108" w:type="dxa"/>
              <w:right w:w="108" w:type="dxa"/>
            </w:tcMar>
            <w:vAlign w:val="center"/>
          </w:tcPr>
          <w:p>
            <w:pPr>
              <w:widowControl/>
              <w:spacing w:after="180"/>
              <w:jc w:val="center"/>
              <w:rPr>
                <w:rFonts w:eastAsia="宋体"/>
              </w:rPr>
            </w:pPr>
            <w:r>
              <w:rPr>
                <w:rFonts w:hint="eastAsia" w:eastAsia="宋体"/>
              </w:rPr>
              <w:t>0</w:t>
            </w:r>
          </w:p>
        </w:tc>
        <w:tc>
          <w:tcPr>
            <w:tcW w:w="756" w:type="dxa"/>
            <w:tcMar>
              <w:left w:w="108" w:type="dxa"/>
              <w:right w:w="108" w:type="dxa"/>
            </w:tcMar>
            <w:vAlign w:val="center"/>
          </w:tcPr>
          <w:p>
            <w:pPr>
              <w:widowControl/>
              <w:spacing w:after="180"/>
              <w:jc w:val="center"/>
            </w:pPr>
            <w:r>
              <w:rPr>
                <w:rFonts w:hint="eastAsia"/>
              </w:rPr>
              <w:t>0</w:t>
            </w:r>
          </w:p>
        </w:tc>
        <w:tc>
          <w:tcPr>
            <w:tcW w:w="756" w:type="dxa"/>
            <w:tcMar>
              <w:left w:w="108" w:type="dxa"/>
              <w:right w:w="108" w:type="dxa"/>
            </w:tcMar>
            <w:vAlign w:val="center"/>
          </w:tcPr>
          <w:p>
            <w:pPr>
              <w:widowControl/>
              <w:spacing w:after="180"/>
              <w:jc w:val="center"/>
            </w:pPr>
            <w:r>
              <w:rPr>
                <w:rFonts w:hint="eastAsia"/>
              </w:rPr>
              <w:t>0</w:t>
            </w:r>
          </w:p>
        </w:tc>
        <w:tc>
          <w:tcPr>
            <w:tcW w:w="815" w:type="dxa"/>
            <w:tcMar>
              <w:left w:w="108" w:type="dxa"/>
              <w:right w:w="108" w:type="dxa"/>
            </w:tcMar>
            <w:vAlign w:val="center"/>
          </w:tcPr>
          <w:p>
            <w:pPr>
              <w:widowControl/>
              <w:spacing w:after="180"/>
              <w:jc w:val="center"/>
            </w:pPr>
            <w:r>
              <w:rPr>
                <w:rFonts w:hint="eastAsia"/>
              </w:rPr>
              <w:t>0</w:t>
            </w:r>
          </w:p>
        </w:tc>
        <w:tc>
          <w:tcPr>
            <w:tcW w:w="976" w:type="dxa"/>
            <w:tcMar>
              <w:left w:w="108" w:type="dxa"/>
              <w:right w:w="108" w:type="dxa"/>
            </w:tcMar>
            <w:vAlign w:val="center"/>
          </w:tcPr>
          <w:p>
            <w:pPr>
              <w:widowControl/>
              <w:spacing w:after="180"/>
              <w:jc w:val="center"/>
            </w:pPr>
            <w:r>
              <w:rPr>
                <w:rFonts w:hint="eastAsia"/>
              </w:rPr>
              <w:t>0</w:t>
            </w:r>
          </w:p>
        </w:tc>
        <w:tc>
          <w:tcPr>
            <w:tcW w:w="713" w:type="dxa"/>
            <w:tcMar>
              <w:left w:w="108" w:type="dxa"/>
              <w:right w:w="108" w:type="dxa"/>
            </w:tcMar>
            <w:vAlign w:val="center"/>
          </w:tcPr>
          <w:p>
            <w:pPr>
              <w:widowControl/>
              <w:spacing w:after="180"/>
              <w:jc w:val="center"/>
            </w:pPr>
            <w:r>
              <w:rPr>
                <w:rFonts w:hint="eastAsia"/>
              </w:rPr>
              <w:t>0</w:t>
            </w:r>
          </w:p>
        </w:tc>
        <w:tc>
          <w:tcPr>
            <w:tcW w:w="679" w:type="dxa"/>
            <w:tcMar>
              <w:left w:w="108" w:type="dxa"/>
              <w:right w:w="108" w:type="dxa"/>
            </w:tcMar>
            <w:vAlign w:val="center"/>
          </w:tcPr>
          <w:p>
            <w:pPr>
              <w:jc w:val="center"/>
              <w:rPr>
                <w:rFonts w:ascii="宋体" w:eastAsia="宋体"/>
                <w:sz w:val="24"/>
              </w:rPr>
            </w:pPr>
            <w:r>
              <w:rPr>
                <w:rFonts w:hint="eastAsia" w:ascii="宋体" w:eastAsia="宋体"/>
                <w:sz w:val="24"/>
              </w:rPr>
              <w:t>0</w:t>
            </w:r>
          </w:p>
        </w:tc>
      </w:tr>
    </w:tbl>
    <w:p>
      <w:pPr>
        <w:pStyle w:val="6"/>
        <w:widowControl/>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eastAsia="宋体"/>
              </w:rPr>
            </w:pPr>
            <w:r>
              <w:rPr>
                <w:rFonts w:hint="eastAsia" w:eastAsia="宋体"/>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ascii="宋体" w:eastAsia="宋体"/>
                <w:sz w:val="24"/>
              </w:rPr>
            </w:pPr>
            <w:r>
              <w:rPr>
                <w:rFonts w:hint="eastAsia" w:ascii="宋体" w:eastAsia="宋体"/>
                <w:sz w:val="24"/>
              </w:rPr>
              <w:t>0</w:t>
            </w:r>
          </w:p>
        </w:tc>
      </w:tr>
    </w:tbl>
    <w:p>
      <w:pPr>
        <w:pStyle w:val="6"/>
        <w:widowControl/>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五、存在的主要问题和改进情况</w:t>
      </w:r>
    </w:p>
    <w:p>
      <w:pPr>
        <w:pStyle w:val="6"/>
        <w:widowControl/>
        <w:spacing w:line="6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我局政务公开人员力量相对薄弱，专业化、理论化水平有待提高，下一步我们将进一步加强学习和培训，提高业务水平。</w:t>
      </w:r>
    </w:p>
    <w:p>
      <w:pPr>
        <w:pStyle w:val="6"/>
        <w:widowControl/>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六、其他需要报告的事项</w:t>
      </w:r>
    </w:p>
    <w:p>
      <w:pPr>
        <w:pStyle w:val="6"/>
        <w:widowControl/>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无                      </w:t>
      </w:r>
    </w:p>
    <w:sectPr>
      <w:footerReference r:id="rId3" w:type="default"/>
      <w:pgSz w:w="11906" w:h="16838"/>
      <w:pgMar w:top="1871" w:right="1474" w:bottom="1871" w:left="1587" w:header="850"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ZDcyMzlmMzNhMDRmNjczNGFhNTY5NmQ0NTgyMjUifQ=="/>
  </w:docVars>
  <w:rsids>
    <w:rsidRoot w:val="004A4264"/>
    <w:rsid w:val="00120194"/>
    <w:rsid w:val="00175EB2"/>
    <w:rsid w:val="001F60B5"/>
    <w:rsid w:val="00260039"/>
    <w:rsid w:val="002F2540"/>
    <w:rsid w:val="00303DC2"/>
    <w:rsid w:val="00310976"/>
    <w:rsid w:val="0031453F"/>
    <w:rsid w:val="00416479"/>
    <w:rsid w:val="0046268B"/>
    <w:rsid w:val="00494114"/>
    <w:rsid w:val="004A4264"/>
    <w:rsid w:val="004F2B02"/>
    <w:rsid w:val="005F6E28"/>
    <w:rsid w:val="00700488"/>
    <w:rsid w:val="00721D0F"/>
    <w:rsid w:val="007269ED"/>
    <w:rsid w:val="007B7E5D"/>
    <w:rsid w:val="00882056"/>
    <w:rsid w:val="008F3775"/>
    <w:rsid w:val="008F5194"/>
    <w:rsid w:val="009F6BE9"/>
    <w:rsid w:val="00A42191"/>
    <w:rsid w:val="00AC2092"/>
    <w:rsid w:val="00AF559C"/>
    <w:rsid w:val="00C82861"/>
    <w:rsid w:val="00C87229"/>
    <w:rsid w:val="00CE5A02"/>
    <w:rsid w:val="00E33F2C"/>
    <w:rsid w:val="00EA5210"/>
    <w:rsid w:val="00EA53B1"/>
    <w:rsid w:val="00FD4657"/>
    <w:rsid w:val="01E8244F"/>
    <w:rsid w:val="031470D9"/>
    <w:rsid w:val="053973EC"/>
    <w:rsid w:val="05424B1A"/>
    <w:rsid w:val="05C10E1E"/>
    <w:rsid w:val="0915113D"/>
    <w:rsid w:val="0A6A0048"/>
    <w:rsid w:val="0B415567"/>
    <w:rsid w:val="0E03035A"/>
    <w:rsid w:val="0FB63537"/>
    <w:rsid w:val="17464331"/>
    <w:rsid w:val="17E0718E"/>
    <w:rsid w:val="18937DB9"/>
    <w:rsid w:val="18A62B93"/>
    <w:rsid w:val="18B6072E"/>
    <w:rsid w:val="1B4F1A27"/>
    <w:rsid w:val="1C275D99"/>
    <w:rsid w:val="1CEB1401"/>
    <w:rsid w:val="1D7A7AA5"/>
    <w:rsid w:val="1E3F7833"/>
    <w:rsid w:val="1EB91826"/>
    <w:rsid w:val="21E00B86"/>
    <w:rsid w:val="23A5183E"/>
    <w:rsid w:val="250E6BEC"/>
    <w:rsid w:val="284F1C41"/>
    <w:rsid w:val="29160D02"/>
    <w:rsid w:val="2A081A75"/>
    <w:rsid w:val="2B58590F"/>
    <w:rsid w:val="2FBB4C2D"/>
    <w:rsid w:val="2FEF3EFE"/>
    <w:rsid w:val="301A3B2F"/>
    <w:rsid w:val="314D245F"/>
    <w:rsid w:val="31C372CB"/>
    <w:rsid w:val="33B96C46"/>
    <w:rsid w:val="346E05B1"/>
    <w:rsid w:val="353900A6"/>
    <w:rsid w:val="36B5611F"/>
    <w:rsid w:val="38D442BF"/>
    <w:rsid w:val="39C43841"/>
    <w:rsid w:val="3AD60954"/>
    <w:rsid w:val="3B8B0F45"/>
    <w:rsid w:val="3E1942A4"/>
    <w:rsid w:val="3E3C4892"/>
    <w:rsid w:val="409141FF"/>
    <w:rsid w:val="41E73796"/>
    <w:rsid w:val="42CA65F2"/>
    <w:rsid w:val="43404A7F"/>
    <w:rsid w:val="43B14016"/>
    <w:rsid w:val="44B51101"/>
    <w:rsid w:val="45DC79B1"/>
    <w:rsid w:val="46300CD6"/>
    <w:rsid w:val="46886876"/>
    <w:rsid w:val="490D4D64"/>
    <w:rsid w:val="4A6F293E"/>
    <w:rsid w:val="4AC55E62"/>
    <w:rsid w:val="4BED4E20"/>
    <w:rsid w:val="4BF0650F"/>
    <w:rsid w:val="53F57511"/>
    <w:rsid w:val="54890A0B"/>
    <w:rsid w:val="54DB5845"/>
    <w:rsid w:val="57FF5E3A"/>
    <w:rsid w:val="580C0329"/>
    <w:rsid w:val="587C6F36"/>
    <w:rsid w:val="58CF4B2C"/>
    <w:rsid w:val="58EA0943"/>
    <w:rsid w:val="5A3058DD"/>
    <w:rsid w:val="5A356762"/>
    <w:rsid w:val="5BAB6E28"/>
    <w:rsid w:val="5C704868"/>
    <w:rsid w:val="60AC7BE7"/>
    <w:rsid w:val="64BC4222"/>
    <w:rsid w:val="66576DD3"/>
    <w:rsid w:val="67D76509"/>
    <w:rsid w:val="69036414"/>
    <w:rsid w:val="6A072332"/>
    <w:rsid w:val="6A166E5B"/>
    <w:rsid w:val="6B2A0B95"/>
    <w:rsid w:val="6C082768"/>
    <w:rsid w:val="6C842E41"/>
    <w:rsid w:val="6D9B648D"/>
    <w:rsid w:val="6E015350"/>
    <w:rsid w:val="6E195FB2"/>
    <w:rsid w:val="6EE844E0"/>
    <w:rsid w:val="6FC2381F"/>
    <w:rsid w:val="703F79B8"/>
    <w:rsid w:val="707B051F"/>
    <w:rsid w:val="70A80C09"/>
    <w:rsid w:val="72002887"/>
    <w:rsid w:val="727605A6"/>
    <w:rsid w:val="72E66F89"/>
    <w:rsid w:val="76421BF8"/>
    <w:rsid w:val="7656294D"/>
    <w:rsid w:val="7895347F"/>
    <w:rsid w:val="78A81AE2"/>
    <w:rsid w:val="793C684C"/>
    <w:rsid w:val="79D518FE"/>
    <w:rsid w:val="79F57A08"/>
    <w:rsid w:val="7C7E4AD4"/>
    <w:rsid w:val="7CFB13B7"/>
    <w:rsid w:val="7D47435F"/>
    <w:rsid w:val="7E65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jc w:val="left"/>
    </w:pPr>
    <w:rPr>
      <w:rFonts w:cs="Times New Roman"/>
      <w:kern w:val="0"/>
      <w:sz w:val="24"/>
    </w:rPr>
  </w:style>
  <w:style w:type="character" w:styleId="9">
    <w:name w:val="FollowedHyperlink"/>
    <w:basedOn w:val="8"/>
    <w:autoRedefine/>
    <w:qFormat/>
    <w:uiPriority w:val="0"/>
    <w:rPr>
      <w:color w:val="333333"/>
      <w:u w:val="none"/>
    </w:rPr>
  </w:style>
  <w:style w:type="character" w:styleId="10">
    <w:name w:val="HTML Definition"/>
    <w:basedOn w:val="8"/>
    <w:qFormat/>
    <w:uiPriority w:val="0"/>
  </w:style>
  <w:style w:type="character" w:styleId="11">
    <w:name w:val="HTML Acronym"/>
    <w:basedOn w:val="8"/>
    <w:autoRedefine/>
    <w:qFormat/>
    <w:uiPriority w:val="0"/>
  </w:style>
  <w:style w:type="character" w:styleId="12">
    <w:name w:val="HTML Variable"/>
    <w:basedOn w:val="8"/>
    <w:autoRedefine/>
    <w:qFormat/>
    <w:uiPriority w:val="0"/>
  </w:style>
  <w:style w:type="character" w:styleId="13">
    <w:name w:val="Hyperlink"/>
    <w:basedOn w:val="8"/>
    <w:autoRedefine/>
    <w:qFormat/>
    <w:uiPriority w:val="0"/>
    <w:rPr>
      <w:color w:val="333333"/>
      <w:u w:val="none"/>
    </w:rPr>
  </w:style>
  <w:style w:type="character" w:styleId="14">
    <w:name w:val="HTML Code"/>
    <w:basedOn w:val="8"/>
    <w:autoRedefine/>
    <w:qFormat/>
    <w:uiPriority w:val="0"/>
    <w:rPr>
      <w:rFonts w:hint="default" w:ascii="Menlo" w:hAnsi="Menlo" w:eastAsia="Menlo" w:cs="Menlo"/>
      <w:color w:val="C7254E"/>
      <w:sz w:val="21"/>
      <w:szCs w:val="21"/>
      <w:shd w:val="clear" w:color="auto" w:fill="F9F2F4"/>
    </w:rPr>
  </w:style>
  <w:style w:type="character" w:styleId="15">
    <w:name w:val="HTML Cite"/>
    <w:basedOn w:val="8"/>
    <w:autoRedefine/>
    <w:qFormat/>
    <w:uiPriority w:val="0"/>
  </w:style>
  <w:style w:type="character" w:styleId="16">
    <w:name w:val="HTML Keyboard"/>
    <w:basedOn w:val="8"/>
    <w:qFormat/>
    <w:uiPriority w:val="0"/>
    <w:rPr>
      <w:rFonts w:hint="default" w:ascii="Menlo" w:hAnsi="Menlo" w:eastAsia="Menlo" w:cs="Menlo"/>
      <w:color w:val="FFFFFF"/>
      <w:sz w:val="21"/>
      <w:szCs w:val="21"/>
      <w:shd w:val="clear" w:color="auto" w:fill="333333"/>
    </w:rPr>
  </w:style>
  <w:style w:type="character" w:styleId="17">
    <w:name w:val="HTML Sample"/>
    <w:basedOn w:val="8"/>
    <w:autoRedefine/>
    <w:qFormat/>
    <w:uiPriority w:val="0"/>
    <w:rPr>
      <w:rFonts w:ascii="Menlo" w:hAnsi="Menlo" w:eastAsia="Menlo" w:cs="Menlo"/>
    </w:rPr>
  </w:style>
  <w:style w:type="character" w:customStyle="1" w:styleId="18">
    <w:name w:val="badge-sea"/>
    <w:basedOn w:val="8"/>
    <w:autoRedefine/>
    <w:qFormat/>
    <w:uiPriority w:val="0"/>
    <w:rPr>
      <w:shd w:val="clear" w:color="auto" w:fill="72C02C"/>
    </w:rPr>
  </w:style>
  <w:style w:type="character" w:customStyle="1" w:styleId="19">
    <w:name w:val="hover"/>
    <w:basedOn w:val="8"/>
    <w:qFormat/>
    <w:uiPriority w:val="0"/>
    <w:rPr>
      <w:b/>
      <w:color w:val="FFFFFF"/>
      <w:shd w:val="clear" w:color="auto" w:fill="298BD4"/>
    </w:rPr>
  </w:style>
  <w:style w:type="character" w:customStyle="1" w:styleId="20">
    <w:name w:val="hover1"/>
    <w:basedOn w:val="8"/>
    <w:autoRedefine/>
    <w:qFormat/>
    <w:uiPriority w:val="0"/>
    <w:rPr>
      <w:color w:val="FFFFFF"/>
      <w:u w:val="none"/>
      <w:shd w:val="clear" w:color="auto" w:fill="298BD4"/>
    </w:rPr>
  </w:style>
  <w:style w:type="character" w:customStyle="1" w:styleId="21">
    <w:name w:val="hover2"/>
    <w:basedOn w:val="8"/>
    <w:autoRedefine/>
    <w:qFormat/>
    <w:uiPriority w:val="0"/>
    <w:rPr>
      <w:color w:val="FFFFFF"/>
      <w:u w:val="none"/>
      <w:shd w:val="clear" w:color="auto" w:fill="298BD4"/>
    </w:rPr>
  </w:style>
  <w:style w:type="character" w:customStyle="1" w:styleId="22">
    <w:name w:val="hover3"/>
    <w:basedOn w:val="8"/>
    <w:autoRedefine/>
    <w:qFormat/>
    <w:uiPriority w:val="0"/>
  </w:style>
  <w:style w:type="character" w:customStyle="1" w:styleId="23">
    <w:name w:val="hover4"/>
    <w:basedOn w:val="8"/>
    <w:autoRedefine/>
    <w:qFormat/>
    <w:uiPriority w:val="0"/>
  </w:style>
  <w:style w:type="character" w:customStyle="1" w:styleId="24">
    <w:name w:val="hover5"/>
    <w:basedOn w:val="8"/>
    <w:autoRedefine/>
    <w:qFormat/>
    <w:uiPriority w:val="0"/>
  </w:style>
  <w:style w:type="character" w:customStyle="1" w:styleId="25">
    <w:name w:val="hover6"/>
    <w:basedOn w:val="8"/>
    <w:autoRedefine/>
    <w:qFormat/>
    <w:uiPriority w:val="0"/>
  </w:style>
  <w:style w:type="character" w:customStyle="1" w:styleId="26">
    <w:name w:val="hover7"/>
    <w:basedOn w:val="8"/>
    <w:autoRedefine/>
    <w:qFormat/>
    <w:uiPriority w:val="0"/>
    <w:rPr>
      <w:color w:val="FFFFFF"/>
      <w:u w:val="none"/>
      <w:shd w:val="clear" w:color="auto" w:fill="298BD4"/>
    </w:rPr>
  </w:style>
  <w:style w:type="character" w:customStyle="1" w:styleId="27">
    <w:name w:val="hover26"/>
    <w:basedOn w:val="8"/>
    <w:autoRedefine/>
    <w:qFormat/>
    <w:uiPriority w:val="0"/>
  </w:style>
  <w:style w:type="character" w:customStyle="1" w:styleId="28">
    <w:name w:val="badge12"/>
    <w:basedOn w:val="8"/>
    <w:autoRedefine/>
    <w:qFormat/>
    <w:uiPriority w:val="0"/>
  </w:style>
  <w:style w:type="character" w:customStyle="1" w:styleId="29">
    <w:name w:val="layui-layer-tabnow"/>
    <w:basedOn w:val="8"/>
    <w:autoRedefine/>
    <w:qFormat/>
    <w:uiPriority w:val="0"/>
    <w:rPr>
      <w:bdr w:val="single" w:color="CCCCCC" w:sz="6" w:space="0"/>
      <w:shd w:val="clear" w:color="auto" w:fill="FFFFFF"/>
    </w:rPr>
  </w:style>
  <w:style w:type="character" w:customStyle="1" w:styleId="30">
    <w:name w:val="first-child"/>
    <w:basedOn w:val="8"/>
    <w:autoRedefine/>
    <w:qFormat/>
    <w:uiPriority w:val="0"/>
  </w:style>
  <w:style w:type="character" w:customStyle="1" w:styleId="31">
    <w:name w:val="badge"/>
    <w:basedOn w:val="8"/>
    <w:autoRedefine/>
    <w:qFormat/>
    <w:uiPriority w:val="0"/>
  </w:style>
  <w:style w:type="character" w:customStyle="1" w:styleId="32">
    <w:name w:val="hover18"/>
    <w:basedOn w:val="8"/>
    <w:autoRedefine/>
    <w:qFormat/>
    <w:uiPriority w:val="0"/>
  </w:style>
  <w:style w:type="character" w:customStyle="1" w:styleId="33">
    <w:name w:val="hover19"/>
    <w:basedOn w:val="8"/>
    <w:autoRedefine/>
    <w:qFormat/>
    <w:uiPriority w:val="0"/>
  </w:style>
  <w:style w:type="character" w:customStyle="1" w:styleId="34">
    <w:name w:val="hover20"/>
    <w:basedOn w:val="8"/>
    <w:autoRedefine/>
    <w:qFormat/>
    <w:uiPriority w:val="0"/>
  </w:style>
  <w:style w:type="character" w:customStyle="1" w:styleId="35">
    <w:name w:val="hover21"/>
    <w:basedOn w:val="8"/>
    <w:autoRedefine/>
    <w:qFormat/>
    <w:uiPriority w:val="0"/>
  </w:style>
  <w:style w:type="character" w:customStyle="1" w:styleId="36">
    <w:name w:val="hover22"/>
    <w:basedOn w:val="8"/>
    <w:qFormat/>
    <w:uiPriority w:val="0"/>
    <w:rPr>
      <w:b/>
      <w:color w:val="FFFFFF"/>
      <w:shd w:val="clear" w:color="auto" w:fill="298BD4"/>
    </w:rPr>
  </w:style>
  <w:style w:type="character" w:customStyle="1" w:styleId="37">
    <w:name w:val="hover23"/>
    <w:basedOn w:val="8"/>
    <w:autoRedefine/>
    <w:qFormat/>
    <w:uiPriority w:val="0"/>
    <w:rPr>
      <w:color w:val="FFFFFF"/>
      <w:u w:val="none"/>
      <w:shd w:val="clear" w:color="auto" w:fill="298BD4"/>
    </w:rPr>
  </w:style>
  <w:style w:type="character" w:customStyle="1" w:styleId="38">
    <w:name w:val="hover24"/>
    <w:basedOn w:val="8"/>
    <w:autoRedefine/>
    <w:qFormat/>
    <w:uiPriority w:val="0"/>
    <w:rPr>
      <w:color w:val="FFFFFF"/>
      <w:u w:val="none"/>
      <w:shd w:val="clear" w:color="auto" w:fill="298BD4"/>
    </w:rPr>
  </w:style>
  <w:style w:type="character" w:customStyle="1" w:styleId="39">
    <w:name w:val="hover25"/>
    <w:basedOn w:val="8"/>
    <w:qFormat/>
    <w:uiPriority w:val="0"/>
    <w:rPr>
      <w:color w:val="FFFFFF"/>
      <w:u w:val="none"/>
      <w:shd w:val="clear" w:color="auto" w:fill="298BD4"/>
    </w:rPr>
  </w:style>
  <w:style w:type="paragraph" w:customStyle="1" w:styleId="40">
    <w:name w:val="列出段落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291</Words>
  <Characters>1659</Characters>
  <Lines>13</Lines>
  <Paragraphs>3</Paragraphs>
  <TotalTime>1</TotalTime>
  <ScaleCrop>false</ScaleCrop>
  <LinksUpToDate>false</LinksUpToDate>
  <CharactersWithSpaces>1947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MONSTER</cp:lastModifiedBy>
  <cp:lastPrinted>2024-01-12T02:00:00Z</cp:lastPrinted>
  <dcterms:modified xsi:type="dcterms:W3CDTF">2024-01-24T09:22:43Z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CBA69ED922A04B3AB5058E2E2D6C4A7F_13</vt:lpwstr>
  </property>
</Properties>
</file>