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附件1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本次检验项目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餐饮食品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7099-2015《食品安全国家标准 糕点、面包》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整顿办函[2011]1号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14934-2016 《食品安全国家标准 消毒餐（饮）具  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餐饮食品检验项目为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酸价(以脂肪计)(KOH)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罂粟碱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吗啡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可待因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那可丁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阴离子合成洗涤剂(以十二烷基苯磺酸钠计)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铝的残留量(干样品，以Al计)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cs="黑体"/>
          <w:color w:val="auto"/>
          <w:sz w:val="32"/>
          <w:szCs w:val="32"/>
          <w:lang w:val="en-US" w:eastAsia="zh-CN"/>
        </w:rPr>
        <w:t>蛋制品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29921-2021《食品安全国家标准 预包装食品中致病菌限量》等标准及产品明示标准和指标的要求。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蛋制品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检验项目为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沙门氏菌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三、淀粉及淀粉制品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2762-20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《食品安全国家标准食品中污染物限量》、GB 2763-20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食品中农药最大残留限量》等标准及产品明示标准和指标的要求。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 xml:space="preserve"> （二）检验项目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淀粉及淀粉制品检验项目为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铝的残留量(干样品，以Al计)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二氧化硫残留量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>四、豆制品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、GB 2762-2022《食品安全国家标准食品中污染物限量》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firstLine="321" w:firstLineChars="1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ar-SA"/>
        </w:rPr>
        <w:t>豆制品检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验项目为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蛋白质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铝的残留量(干样品，以Al计)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五、酒类</w:t>
      </w:r>
    </w:p>
    <w:p>
      <w:pPr>
        <w:pStyle w:val="18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GB/T 10781.2-2006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《清香型白酒》、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《食品安全国家标准食品中污染物限量》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2757-2012《食品安全国家标准 蒸馏酒及其配制酒》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酒类检验项目为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酒精度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甲醇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氰化物(以HCN计)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三氯蔗糖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六、粮食加工品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2762-2022《食品安全国家标准食品中污染物限量》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2761-2017《食品安全国家标准 食品中真菌毒素限量》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卫生部公告[2011]第4号 卫生部等7部门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粮食加工品检验项目为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二氧化硫残留量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镉(以Cd计)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黄曲霉毒素B₁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苯并[a]芘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玉米赤霉烯酮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赭曲霉毒素A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过氧化苯甲酰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七、肉制品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2730-2015《食品安全国家标准 腌腊肉制品》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2762-2022《食品安全国家标准食品中污染物限量》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整顿办函[2011]1号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肉制品检验项目为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过氧化值(以脂肪计)、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总砷(以As计)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亚硝酸盐(以亚硝酸钠计)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胭脂红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氯霉素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>八、食糖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、GB 13104-2014《食品安全国家标准 食糖》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食糖检验项目为二氧化硫残留量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九、食用农产品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2763-2021《食品安全国家标准 食品中农药最大残留限量》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2762-2022《食品安全国家标准食品中污染物限量》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GB2763.1-2022 《食品中2,4-滴丁酸钠盐等112种农药最大残留限量》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19300-2014《食品安全国家标准 坚果与籽类食》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农业农村部公告 第250号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31650-2019《食品安全国家标准 食品中兽药最大残留限量》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2733-2015《食品安全国家标准 鲜、冻动物性水产品》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31650.1-2022《食品安全国家标准 食品中41种兽药最大残留限量》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2707-2016《食品安全国家标准 鲜（冻）畜、禽产品》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食用农产品检验项目为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噻虫胺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吡虫啉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啶虫脒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噻虫嗪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水胺硫磷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氧乐果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甲胺磷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克百威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氯氟氰菊酯和高效氯氟氰菊酯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甲拌磷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毒死蜱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苯醚甲环唑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氟虫腈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甲基异柳磷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马拉硫磷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镉(以Cd计)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六六六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氯氰菊酯和高效氯氰菊酯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阿维菌素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乙酰甲胺磷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敌敌畏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腐霉利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多菌灵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倍硫磷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甲氨基阿维菌素苯甲酸盐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灭蝇胺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联苯菊酯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乙螨唑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氰戊菊酯和S-氰戊菊酯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酸价(以脂肪计)(KOH)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腈苯唑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百菌清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溴氰菊酯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孔雀石绿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恩诺沙星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地西泮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五氯酚酸钠(以五氯酚计)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挥发性盐基氮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氯霉素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呋喃唑酮代谢物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磺胺类(总量)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呋喃西林代谢物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呋喃妥因代谢物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氧氟沙星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诺氟沙星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氯吡脲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氯唑磷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丙溴磷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三唑磷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吡唑醚菌酯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嘧菌酯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戊唑醇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克伦特罗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甲氧苄啶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氟苯尼考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土霉素/金霉素/四环素(组合含量)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灭线磷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十、食用油、油脂及其制品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2762-2022《食品安全国家标准食品中污染物限量》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2716-2018食品安全国家标准 植物油》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GB/T 8233-2018《芝麻油》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《食品安全国家标准食品中污染物限量》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00" w:left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食用油、油脂及其制品检验项目为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酸价(KOH)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过氧化值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苯并[a]芘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溶剂残留量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酸价(以KOH计)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乙基麦芽酚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特丁基对苯二酚(TBHQ)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十一、薯类和膨化食品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、GB 31607-2021《食品安全国家标准散装即食食品中致病菌限量》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薯类和膨化食品检验项目为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沙门氏菌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金黄色葡萄球菌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十二、水产制品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2760-2014《食品安全国家标准 食品添加剂使用标准》等标准及产品明示标准和指标的要求。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水产制品的检验项目为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酸价(KOH)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过氧化值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苯并[a]芘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溶剂残留量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酸价(以KOH计)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乙基麦芽酚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特丁基对苯二酚(TBHQ)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十三、调味品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2760-2014《食品安全国家标准 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、GB 29921-2021《食品安全国家标准 预包装食品中致病菌限量》、GB 2762-2017《食品安全国家标准食品中污染物限量》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调味品检验项目为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酸价(KOH)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过氧化值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二氧化钛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金黄色葡萄球菌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沙门氏菌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十四、饮料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抽检依据是GB 2762-2022《食品安全国家标准食品中污染物限量》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、GB 2760-2014《食品安全国家标准 食品添加剂使用标准》、GB 7101-2022《食品安全国家标准 饮料 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饮料检验项目为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柠檬黄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日落黄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菌落总数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霉菌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0176A2"/>
    <w:multiLevelType w:val="multilevel"/>
    <w:tmpl w:val="500176A2"/>
    <w:lvl w:ilvl="0" w:tentative="0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wYWIwZGQ5YWMyNTg4NzE3MzNhMjM4M2Q3MmY2NWIifQ=="/>
  </w:docVars>
  <w:rsids>
    <w:rsidRoot w:val="00A06660"/>
    <w:rsid w:val="000157AF"/>
    <w:rsid w:val="00097B71"/>
    <w:rsid w:val="000B17BD"/>
    <w:rsid w:val="001172BA"/>
    <w:rsid w:val="00156C89"/>
    <w:rsid w:val="001B4021"/>
    <w:rsid w:val="001F1A88"/>
    <w:rsid w:val="001F1D6E"/>
    <w:rsid w:val="002612C1"/>
    <w:rsid w:val="00341496"/>
    <w:rsid w:val="00345629"/>
    <w:rsid w:val="00357384"/>
    <w:rsid w:val="003B131E"/>
    <w:rsid w:val="003B526C"/>
    <w:rsid w:val="003C1F50"/>
    <w:rsid w:val="003E293C"/>
    <w:rsid w:val="00400979"/>
    <w:rsid w:val="00402C88"/>
    <w:rsid w:val="0040703D"/>
    <w:rsid w:val="00432C64"/>
    <w:rsid w:val="0050539E"/>
    <w:rsid w:val="005266D2"/>
    <w:rsid w:val="00532F0E"/>
    <w:rsid w:val="00534939"/>
    <w:rsid w:val="005507DA"/>
    <w:rsid w:val="00577F75"/>
    <w:rsid w:val="005D6F77"/>
    <w:rsid w:val="00643F66"/>
    <w:rsid w:val="00647599"/>
    <w:rsid w:val="006651FF"/>
    <w:rsid w:val="00672EF3"/>
    <w:rsid w:val="00676078"/>
    <w:rsid w:val="006C005F"/>
    <w:rsid w:val="006D441C"/>
    <w:rsid w:val="00736744"/>
    <w:rsid w:val="00741837"/>
    <w:rsid w:val="0075579B"/>
    <w:rsid w:val="0076240A"/>
    <w:rsid w:val="00762C58"/>
    <w:rsid w:val="00771004"/>
    <w:rsid w:val="007729E7"/>
    <w:rsid w:val="007A4864"/>
    <w:rsid w:val="00821C4F"/>
    <w:rsid w:val="00846C1E"/>
    <w:rsid w:val="008C2140"/>
    <w:rsid w:val="008D743C"/>
    <w:rsid w:val="008E4622"/>
    <w:rsid w:val="00937B28"/>
    <w:rsid w:val="00950783"/>
    <w:rsid w:val="00962097"/>
    <w:rsid w:val="00964165"/>
    <w:rsid w:val="009A5CA8"/>
    <w:rsid w:val="00A06660"/>
    <w:rsid w:val="00AB1C4D"/>
    <w:rsid w:val="00AB7CBB"/>
    <w:rsid w:val="00AC7C00"/>
    <w:rsid w:val="00B43BC3"/>
    <w:rsid w:val="00B64F11"/>
    <w:rsid w:val="00B77A02"/>
    <w:rsid w:val="00BB24DD"/>
    <w:rsid w:val="00BB34F9"/>
    <w:rsid w:val="00BF74E5"/>
    <w:rsid w:val="00C10A0C"/>
    <w:rsid w:val="00C569BA"/>
    <w:rsid w:val="00C87EB0"/>
    <w:rsid w:val="00C96EC3"/>
    <w:rsid w:val="00CA57A9"/>
    <w:rsid w:val="00D233CE"/>
    <w:rsid w:val="00D324C2"/>
    <w:rsid w:val="00D76BDB"/>
    <w:rsid w:val="00DA0AA8"/>
    <w:rsid w:val="00DA7C4D"/>
    <w:rsid w:val="00DC7E71"/>
    <w:rsid w:val="00DF7079"/>
    <w:rsid w:val="00E01586"/>
    <w:rsid w:val="00E34F8B"/>
    <w:rsid w:val="00E70069"/>
    <w:rsid w:val="00E91C4E"/>
    <w:rsid w:val="00EC62BA"/>
    <w:rsid w:val="00EE32B4"/>
    <w:rsid w:val="00EF55ED"/>
    <w:rsid w:val="00F06C79"/>
    <w:rsid w:val="00F30C4A"/>
    <w:rsid w:val="00F94C84"/>
    <w:rsid w:val="00FD76F1"/>
    <w:rsid w:val="00FE0FE5"/>
    <w:rsid w:val="019362A4"/>
    <w:rsid w:val="02C33067"/>
    <w:rsid w:val="033442BA"/>
    <w:rsid w:val="0365798A"/>
    <w:rsid w:val="055F7AA4"/>
    <w:rsid w:val="05E329A0"/>
    <w:rsid w:val="06FD6FFF"/>
    <w:rsid w:val="08612E9C"/>
    <w:rsid w:val="0B791F6D"/>
    <w:rsid w:val="0C37346C"/>
    <w:rsid w:val="0EFC54F3"/>
    <w:rsid w:val="0FBA5E18"/>
    <w:rsid w:val="102E2F9D"/>
    <w:rsid w:val="11A74A09"/>
    <w:rsid w:val="126E7F92"/>
    <w:rsid w:val="13E65F23"/>
    <w:rsid w:val="14317D31"/>
    <w:rsid w:val="14873567"/>
    <w:rsid w:val="151E560C"/>
    <w:rsid w:val="155908DD"/>
    <w:rsid w:val="18F66226"/>
    <w:rsid w:val="19B946E7"/>
    <w:rsid w:val="1A49499E"/>
    <w:rsid w:val="1AA27395"/>
    <w:rsid w:val="1BA12457"/>
    <w:rsid w:val="1C1F58AF"/>
    <w:rsid w:val="1D60582A"/>
    <w:rsid w:val="1DEC4EF7"/>
    <w:rsid w:val="1ECD5EB4"/>
    <w:rsid w:val="1F7B62D4"/>
    <w:rsid w:val="212F4D78"/>
    <w:rsid w:val="23036CE8"/>
    <w:rsid w:val="23647E8F"/>
    <w:rsid w:val="242613F2"/>
    <w:rsid w:val="25B90E19"/>
    <w:rsid w:val="267F7BD9"/>
    <w:rsid w:val="26C84262"/>
    <w:rsid w:val="272B73B4"/>
    <w:rsid w:val="289879F9"/>
    <w:rsid w:val="28B72A03"/>
    <w:rsid w:val="28C149C8"/>
    <w:rsid w:val="28F97701"/>
    <w:rsid w:val="293609AC"/>
    <w:rsid w:val="2A6836CE"/>
    <w:rsid w:val="2BA35B33"/>
    <w:rsid w:val="2DA80895"/>
    <w:rsid w:val="2F5E4339"/>
    <w:rsid w:val="31151666"/>
    <w:rsid w:val="31462D0D"/>
    <w:rsid w:val="31CA56EC"/>
    <w:rsid w:val="32673D19"/>
    <w:rsid w:val="32DA12DB"/>
    <w:rsid w:val="338F44F8"/>
    <w:rsid w:val="339E30A3"/>
    <w:rsid w:val="34735327"/>
    <w:rsid w:val="34A0750F"/>
    <w:rsid w:val="34C00C00"/>
    <w:rsid w:val="359423F3"/>
    <w:rsid w:val="36A46C45"/>
    <w:rsid w:val="374B3AE2"/>
    <w:rsid w:val="37BC6F1A"/>
    <w:rsid w:val="37C56E83"/>
    <w:rsid w:val="37F20C53"/>
    <w:rsid w:val="396E69AB"/>
    <w:rsid w:val="39A61DCE"/>
    <w:rsid w:val="39D209EA"/>
    <w:rsid w:val="39F0246E"/>
    <w:rsid w:val="39FB797A"/>
    <w:rsid w:val="3A102520"/>
    <w:rsid w:val="3A550212"/>
    <w:rsid w:val="3AE9381F"/>
    <w:rsid w:val="3AF13645"/>
    <w:rsid w:val="3B540AD5"/>
    <w:rsid w:val="3BAA0D64"/>
    <w:rsid w:val="3D0E4CF3"/>
    <w:rsid w:val="3D356A5D"/>
    <w:rsid w:val="3D9B3A34"/>
    <w:rsid w:val="3DAE48D0"/>
    <w:rsid w:val="40353E69"/>
    <w:rsid w:val="413E0548"/>
    <w:rsid w:val="41DF2AC0"/>
    <w:rsid w:val="42935ED2"/>
    <w:rsid w:val="4305608D"/>
    <w:rsid w:val="43106CD7"/>
    <w:rsid w:val="43BF2291"/>
    <w:rsid w:val="44317349"/>
    <w:rsid w:val="446E57BA"/>
    <w:rsid w:val="44792511"/>
    <w:rsid w:val="44A97CC2"/>
    <w:rsid w:val="450E0C06"/>
    <w:rsid w:val="4511779D"/>
    <w:rsid w:val="4532115A"/>
    <w:rsid w:val="456139BC"/>
    <w:rsid w:val="459E4818"/>
    <w:rsid w:val="46C87275"/>
    <w:rsid w:val="488974E5"/>
    <w:rsid w:val="48D37826"/>
    <w:rsid w:val="48DD58AD"/>
    <w:rsid w:val="48E22897"/>
    <w:rsid w:val="496E26C7"/>
    <w:rsid w:val="4A583671"/>
    <w:rsid w:val="4ACC3D93"/>
    <w:rsid w:val="4B4B0762"/>
    <w:rsid w:val="4C563C7B"/>
    <w:rsid w:val="4C74019F"/>
    <w:rsid w:val="4CE27E71"/>
    <w:rsid w:val="4CEA0B40"/>
    <w:rsid w:val="4D1D4739"/>
    <w:rsid w:val="4DB15B2D"/>
    <w:rsid w:val="4E164237"/>
    <w:rsid w:val="4F580186"/>
    <w:rsid w:val="4FEB7FA3"/>
    <w:rsid w:val="4FF22980"/>
    <w:rsid w:val="50F32774"/>
    <w:rsid w:val="51C623F3"/>
    <w:rsid w:val="53D30F33"/>
    <w:rsid w:val="54001005"/>
    <w:rsid w:val="54144801"/>
    <w:rsid w:val="54882B71"/>
    <w:rsid w:val="54885FFB"/>
    <w:rsid w:val="54F66BCE"/>
    <w:rsid w:val="55E7357C"/>
    <w:rsid w:val="56E45005"/>
    <w:rsid w:val="56F05571"/>
    <w:rsid w:val="57797EDF"/>
    <w:rsid w:val="578D3AAC"/>
    <w:rsid w:val="57DD31D4"/>
    <w:rsid w:val="58CD61FD"/>
    <w:rsid w:val="590F3861"/>
    <w:rsid w:val="59612BE8"/>
    <w:rsid w:val="598B63F0"/>
    <w:rsid w:val="59C612EC"/>
    <w:rsid w:val="59FA2D7C"/>
    <w:rsid w:val="5A1C23C4"/>
    <w:rsid w:val="5A270918"/>
    <w:rsid w:val="5A2B2904"/>
    <w:rsid w:val="5B406304"/>
    <w:rsid w:val="5BB22189"/>
    <w:rsid w:val="5CB83F12"/>
    <w:rsid w:val="5D440918"/>
    <w:rsid w:val="5E3A1ACF"/>
    <w:rsid w:val="5EA51C2B"/>
    <w:rsid w:val="5F126E38"/>
    <w:rsid w:val="5FCA593E"/>
    <w:rsid w:val="5FEA341D"/>
    <w:rsid w:val="5FF408B8"/>
    <w:rsid w:val="60303E51"/>
    <w:rsid w:val="6067193E"/>
    <w:rsid w:val="60D21907"/>
    <w:rsid w:val="62B32C72"/>
    <w:rsid w:val="62C40256"/>
    <w:rsid w:val="6360716D"/>
    <w:rsid w:val="64B54FEA"/>
    <w:rsid w:val="65336DF7"/>
    <w:rsid w:val="659C75FC"/>
    <w:rsid w:val="6617142A"/>
    <w:rsid w:val="662957CD"/>
    <w:rsid w:val="684655E2"/>
    <w:rsid w:val="686D4100"/>
    <w:rsid w:val="688F4EE2"/>
    <w:rsid w:val="690977AC"/>
    <w:rsid w:val="69221E14"/>
    <w:rsid w:val="6926496E"/>
    <w:rsid w:val="69BD2834"/>
    <w:rsid w:val="6A224588"/>
    <w:rsid w:val="6ACC6738"/>
    <w:rsid w:val="6BC767DA"/>
    <w:rsid w:val="6C3C7469"/>
    <w:rsid w:val="6CC64816"/>
    <w:rsid w:val="6CE822B9"/>
    <w:rsid w:val="6DB84A13"/>
    <w:rsid w:val="6E1E5B1F"/>
    <w:rsid w:val="6EDA00F5"/>
    <w:rsid w:val="6FDD432A"/>
    <w:rsid w:val="6FFC1059"/>
    <w:rsid w:val="70063B95"/>
    <w:rsid w:val="709D4D0F"/>
    <w:rsid w:val="727B1B76"/>
    <w:rsid w:val="73164E6F"/>
    <w:rsid w:val="77060618"/>
    <w:rsid w:val="770D2E0C"/>
    <w:rsid w:val="774B2530"/>
    <w:rsid w:val="7A8041EE"/>
    <w:rsid w:val="7B2002D3"/>
    <w:rsid w:val="7B8F588D"/>
    <w:rsid w:val="7C9511C7"/>
    <w:rsid w:val="7C9E79F1"/>
    <w:rsid w:val="7CDF587B"/>
    <w:rsid w:val="7CFE0D05"/>
    <w:rsid w:val="7D1C5D95"/>
    <w:rsid w:val="7EFC6A4E"/>
    <w:rsid w:val="7F9F4555"/>
    <w:rsid w:val="7FD65ACB"/>
    <w:rsid w:val="7FE53F1B"/>
    <w:rsid w:val="7FF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宋体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5"/>
    <w:qFormat/>
    <w:uiPriority w:val="0"/>
    <w:pPr>
      <w:ind w:firstLine="425"/>
      <w:jc w:val="both"/>
    </w:pPr>
    <w:rPr>
      <w:rFonts w:ascii="Times New Roman" w:hAnsi="Times New Roman" w:cs="Times New Roman"/>
      <w:sz w:val="21"/>
      <w:szCs w:val="20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4">
    <w:name w:val="font1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5">
    <w:name w:val="正文缩进 字符"/>
    <w:link w:val="5"/>
    <w:qFormat/>
    <w:uiPriority w:val="0"/>
    <w:rPr>
      <w:kern w:val="2"/>
      <w:sz w:val="21"/>
    </w:rPr>
  </w:style>
  <w:style w:type="character" w:customStyle="1" w:styleId="16">
    <w:name w:val="font8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font0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11"/>
    <w:basedOn w:val="9"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2852</Words>
  <Characters>3355</Characters>
  <Lines>73</Lines>
  <Paragraphs>20</Paragraphs>
  <TotalTime>1</TotalTime>
  <ScaleCrop>false</ScaleCrop>
  <LinksUpToDate>false</LinksUpToDate>
  <CharactersWithSpaces>3439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2022-08-24T08:17:00Z</dcterms:created>
  <dc:creator>lenovo</dc:creator>
  <cp:lastModifiedBy>HP</cp:lastModifiedBy>
  <cp:lastPrinted>2023-10-12T03:50:16Z</cp:lastPrinted>
  <dcterms:modified xsi:type="dcterms:W3CDTF">2023-10-12T03:50:20Z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932B44810F8D404FB4D5667367E30CF3</vt:lpwstr>
  </property>
</Properties>
</file>