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0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539"/>
        <w:gridCol w:w="807"/>
        <w:gridCol w:w="1579"/>
        <w:gridCol w:w="899"/>
        <w:gridCol w:w="1486"/>
        <w:gridCol w:w="1882"/>
        <w:gridCol w:w="1166"/>
        <w:gridCol w:w="4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879" w:hRule="atLeast"/>
        </w:trPr>
        <w:tc>
          <w:tcPr>
            <w:tcW w:w="8772" w:type="dxa"/>
            <w:gridSpan w:val="8"/>
            <w:shd w:val="clear" w:color="auto" w:fill="FFFFFF" w:themeFill="background1"/>
            <w:tcMar>
              <w:top w:w="0" w:type="dxa"/>
              <w:left w:w="170" w:type="dxa"/>
              <w:bottom w:w="0"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ascii="微软雅黑" w:hAnsi="微软雅黑" w:eastAsia="微软雅黑" w:cs="微软雅黑"/>
                <w:b/>
                <w:bCs/>
                <w:i w:val="0"/>
                <w:iCs w:val="0"/>
                <w:caps w:val="0"/>
                <w:color w:val="000000"/>
                <w:spacing w:val="0"/>
                <w:sz w:val="36"/>
                <w:szCs w:val="36"/>
                <w:u w:val="none"/>
                <w:shd w:val="clear" w:color="auto" w:fill="auto"/>
              </w:rPr>
            </w:pPr>
            <w:r>
              <w:rPr>
                <w:rFonts w:hint="eastAsia" w:ascii="微软雅黑" w:hAnsi="微软雅黑" w:eastAsia="微软雅黑" w:cs="微软雅黑"/>
                <w:b/>
                <w:bCs/>
                <w:i w:val="0"/>
                <w:iCs w:val="0"/>
                <w:caps w:val="0"/>
                <w:color w:val="000000"/>
                <w:spacing w:val="0"/>
                <w:kern w:val="0"/>
                <w:sz w:val="36"/>
                <w:szCs w:val="36"/>
                <w:u w:val="none"/>
                <w:shd w:val="clear" w:color="auto" w:fill="auto"/>
                <w:lang w:val="en-US" w:eastAsia="zh-CN" w:bidi="ar"/>
              </w:rPr>
              <w:t>夏县审计局重大行政执法决定法制审核目录清单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36" w:hRule="atLeast"/>
        </w:trPr>
        <w:tc>
          <w:tcPr>
            <w:tcW w:w="540" w:type="dxa"/>
            <w:vMerge w:val="restart"/>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序号</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执法</w:t>
            </w: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br w:type="textWrapping"/>
            </w: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类别</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审核项目</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承办机构</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审核条件</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审核依据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审核机构</w:t>
            </w:r>
          </w:p>
        </w:tc>
        <w:tc>
          <w:tcPr>
            <w:tcW w:w="4812" w:type="dxa"/>
            <w:vMerge w:val="restart"/>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shd w:val="clear" w:color="auto" w:fill="auto"/>
              </w:rPr>
            </w:pPr>
            <w:r>
              <w:rPr>
                <w:rFonts w:hint="eastAsia" w:ascii="微软雅黑" w:hAnsi="微软雅黑" w:eastAsia="微软雅黑" w:cs="微软雅黑"/>
                <w:b/>
                <w:bCs/>
                <w:i w:val="0"/>
                <w:iCs w:val="0"/>
                <w:caps w:val="0"/>
                <w:color w:val="000000"/>
                <w:spacing w:val="0"/>
                <w:kern w:val="0"/>
                <w:sz w:val="18"/>
                <w:szCs w:val="18"/>
                <w:u w:val="none"/>
                <w:shd w:val="clear" w:color="auto" w:fill="auto"/>
                <w:lang w:val="en-US" w:eastAsia="zh-CN" w:bidi="ar"/>
              </w:rPr>
              <w:t>提交的审核材料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12" w:hRule="atLeast"/>
        </w:trPr>
        <w:tc>
          <w:tcPr>
            <w:tcW w:w="540" w:type="dxa"/>
            <w:vMerge w:val="continue"/>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c>
          <w:tcPr>
            <w:tcW w:w="4812" w:type="dxa"/>
            <w:vMerge w:val="continue"/>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b/>
                <w:bCs/>
                <w:i w:val="0"/>
                <w:iCs w:val="0"/>
                <w:caps w:val="0"/>
                <w:color w:val="000000"/>
                <w:spacing w:val="0"/>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25" w:hRule="atLeast"/>
        </w:trPr>
        <w:tc>
          <w:tcPr>
            <w:tcW w:w="540" w:type="dxa"/>
            <w:vMerge w:val="restart"/>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行政处罚</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对拒绝、拖延提供与审计事项有关的资料，或者提供的资料不真实、不完整，或者拒绝、阻碍检查的处罚</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拟作出罚款、没收违法所得的行政处罚决定。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1.《中华人民共和国审计法》第四十三条;</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法规审理股</w:t>
            </w:r>
          </w:p>
        </w:tc>
        <w:tc>
          <w:tcPr>
            <w:tcW w:w="4812" w:type="dxa"/>
            <w:vMerge w:val="restart"/>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97" w:hRule="atLeast"/>
        </w:trPr>
        <w:tc>
          <w:tcPr>
            <w:tcW w:w="540" w:type="dxa"/>
            <w:vMerge w:val="continue"/>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2.中华人民共和国审计法实施条例》第四十七条</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4812" w:type="dxa"/>
            <w:vMerge w:val="continue"/>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rPr>
                <w:rFonts w:hint="eastAsia" w:ascii="微软雅黑" w:hAnsi="微软雅黑" w:eastAsia="微软雅黑" w:cs="微软雅黑"/>
                <w:i w:val="0"/>
                <w:iCs w:val="0"/>
                <w:caps w:val="0"/>
                <w:color w:val="000000"/>
                <w:spacing w:val="0"/>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60" w:hRule="atLeast"/>
        </w:trPr>
        <w:tc>
          <w:tcPr>
            <w:tcW w:w="540" w:type="dxa"/>
            <w:vMerge w:val="restart"/>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行政处罚</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对违反国家规定的财政财务收支行为的处罚</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拟作出罚款、没收违法所得的行政处罚决定。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1.《中华人民共和国审计法》第四十五条 ；</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法规审理股</w:t>
            </w:r>
          </w:p>
        </w:tc>
        <w:tc>
          <w:tcPr>
            <w:tcW w:w="4812" w:type="dxa"/>
            <w:vMerge w:val="restart"/>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三）审计工作底稿、审计证据；（四）被审计对象对征求意见的审计报告的反馈意见、审计组对被审计对象反馈意见的书面说明；（五）审计组组长、审计组所在部门出具的审核、复核意见书；（六）审计定性、处理、处罚适用的法律、法规、规章和规范性文件；（七）经过听证程序的，应当提交听证笔录；（八）经过评估、鉴定程序的，应当提交评估、鉴定报告；（九）法制科认为需要提交的其他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368" w:hRule="atLeast"/>
        </w:trPr>
        <w:tc>
          <w:tcPr>
            <w:tcW w:w="540" w:type="dxa"/>
            <w:vMerge w:val="continue"/>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2.中华人民共和国审计法实施条例》第四十九条</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4812" w:type="dxa"/>
            <w:vMerge w:val="continue"/>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0" w:hRule="atLeast"/>
        </w:trPr>
        <w:tc>
          <w:tcPr>
            <w:tcW w:w="540" w:type="dxa"/>
            <w:vMerge w:val="restart"/>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3</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行政强制</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制止被审计单位违法对有关资料和违反国家规定取得的资产采取转移、隐匿等行为，封存被审计单位有关资料和违反国家规定取得资产。</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拟作出制止封存行政强制措施的审计决定。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1.《中华人民共和国审计法》第三十四条第一款、二款 ；</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法规审理股</w:t>
            </w:r>
          </w:p>
        </w:tc>
        <w:tc>
          <w:tcPr>
            <w:tcW w:w="4812" w:type="dxa"/>
            <w:vMerge w:val="restart"/>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73" w:hRule="atLeast"/>
        </w:trPr>
        <w:tc>
          <w:tcPr>
            <w:tcW w:w="540" w:type="dxa"/>
            <w:vMerge w:val="continue"/>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2.中华人民共和国审计法实施条例》第三十二条</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4812" w:type="dxa"/>
            <w:vMerge w:val="continue"/>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jc w:val="left"/>
              <w:rPr>
                <w:rFonts w:hint="eastAsia" w:ascii="微软雅黑" w:hAnsi="微软雅黑" w:eastAsia="微软雅黑" w:cs="微软雅黑"/>
                <w:i w:val="0"/>
                <w:iCs w:val="0"/>
                <w:caps w:val="0"/>
                <w:color w:val="000000"/>
                <w:spacing w:val="0"/>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008" w:hRule="atLeast"/>
        </w:trPr>
        <w:tc>
          <w:tcPr>
            <w:tcW w:w="540" w:type="dxa"/>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行政强制</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通知财政部门和有关主管部门暂停拨付与违反国家规定的财政收支、财务收支行为直接有关的款项，已经拨付的，暂停使用。</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拟作出暂停拨付与使用行政强制措施的审计决定。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《中华人民共和国审计法》第三十四条第三款</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法规审理股</w:t>
            </w:r>
          </w:p>
        </w:tc>
        <w:tc>
          <w:tcPr>
            <w:tcW w:w="4812" w:type="dxa"/>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681" w:hRule="atLeast"/>
        </w:trPr>
        <w:tc>
          <w:tcPr>
            <w:tcW w:w="540" w:type="dxa"/>
            <w:tcBorders>
              <w:top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5</w:t>
            </w:r>
          </w:p>
        </w:tc>
        <w:tc>
          <w:tcPr>
            <w:tcW w:w="81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其他权力—审计处理权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对被审计单位违反国家规定的财政财务收支行为作出审计处理。</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拟采取《审计法》第四十五条规定的责令限期缴纳应当上缴的款项等处理措施的审计决定。</w:t>
            </w:r>
          </w:p>
        </w:tc>
        <w:tc>
          <w:tcPr>
            <w:tcW w:w="165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《中华人民共和国审计法》第四十五条</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jc w:val="center"/>
              <w:rPr>
                <w:rFonts w:hint="eastAsia" w:ascii="微软雅黑" w:hAnsi="微软雅黑" w:eastAsia="微软雅黑" w:cs="微软雅黑"/>
                <w:i w:val="0"/>
                <w:iCs w:val="0"/>
                <w:caps w:val="0"/>
                <w:color w:val="000000"/>
                <w:spacing w:val="0"/>
                <w:sz w:val="18"/>
                <w:szCs w:val="18"/>
                <w:u w:val="none"/>
                <w:shd w:val="clear" w:color="auto" w:fill="auto"/>
              </w:rPr>
            </w:pPr>
          </w:p>
        </w:tc>
        <w:tc>
          <w:tcPr>
            <w:tcW w:w="4812" w:type="dxa"/>
            <w:tcBorders>
              <w:top w:val="single" w:color="000000" w:sz="4" w:space="0"/>
              <w:left w:val="single" w:color="000000" w:sz="4" w:space="0"/>
              <w:bottom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三）审计工作底稿、审计证据；（四）被审计对象对征求意见的审计报告的反馈意见、审计组对被审计对象反馈意见的书面说明；（五）审计组组长、审计组所在部门出具的审核、复核意见书；（六）审计定性、处理、处罚适用的法律、法规、规章和规范性文件；（七）经过听证程序的，应当提交听证笔录；（八）经过评估、鉴定程序的，应当提交评估、鉴定报告；（九）法制科认为需要提交的其他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77" w:hRule="atLeast"/>
        </w:trPr>
        <w:tc>
          <w:tcPr>
            <w:tcW w:w="540" w:type="dxa"/>
            <w:tcBorders>
              <w:top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6</w:t>
            </w:r>
          </w:p>
        </w:tc>
        <w:tc>
          <w:tcPr>
            <w:tcW w:w="816"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其他权力—审计处理权</w:t>
            </w:r>
          </w:p>
        </w:tc>
        <w:tc>
          <w:tcPr>
            <w:tcW w:w="1608"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对被审计单位违反国家规定的财政收支、财务收支行为，依法移送其他有关部门处理、处罚。</w:t>
            </w:r>
          </w:p>
        </w:tc>
        <w:tc>
          <w:tcPr>
            <w:tcW w:w="912"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夏县审计局</w:t>
            </w:r>
          </w:p>
        </w:tc>
        <w:tc>
          <w:tcPr>
            <w:tcW w:w="1512"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拟作出的审计移送处理决定</w:t>
            </w:r>
          </w:p>
        </w:tc>
        <w:tc>
          <w:tcPr>
            <w:tcW w:w="1656"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1.《中华人民共和国审计法》第三十五条；               2. 中华人民共和国审计法实施条例》第四十条 </w:t>
            </w:r>
          </w:p>
        </w:tc>
        <w:tc>
          <w:tcPr>
            <w:tcW w:w="1188" w:type="dxa"/>
            <w:tcBorders>
              <w:top w:val="single" w:color="000000" w:sz="4" w:space="0"/>
              <w:left w:val="single" w:color="000000" w:sz="4" w:space="0"/>
              <w:righ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法规审理科</w:t>
            </w:r>
          </w:p>
        </w:tc>
        <w:tc>
          <w:tcPr>
            <w:tcW w:w="4812" w:type="dxa"/>
            <w:tcBorders>
              <w:top w:val="single" w:color="000000" w:sz="4" w:space="0"/>
              <w:left w:val="single" w:color="000000" w:sz="4" w:space="0"/>
            </w:tcBorders>
            <w:shd w:val="clear" w:color="auto" w:fill="FFFFFF" w:themeFill="background1"/>
            <w:tcMar>
              <w:top w:w="57" w:type="dxa"/>
              <w:left w:w="170" w:type="dxa"/>
              <w:bottom w:w="57" w:type="dxa"/>
              <w:right w:w="17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aps w:val="0"/>
                <w:color w:val="000000"/>
                <w:spacing w:val="0"/>
                <w:sz w:val="18"/>
                <w:szCs w:val="18"/>
                <w:u w:val="none"/>
                <w:shd w:val="clear" w:color="auto" w:fill="auto"/>
              </w:rPr>
            </w:pPr>
            <w:r>
              <w:rPr>
                <w:rFonts w:hint="eastAsia" w:ascii="微软雅黑" w:hAnsi="微软雅黑" w:eastAsia="微软雅黑" w:cs="微软雅黑"/>
                <w:i w:val="0"/>
                <w:iCs w:val="0"/>
                <w:caps w:val="0"/>
                <w:color w:val="000000"/>
                <w:spacing w:val="0"/>
                <w:kern w:val="0"/>
                <w:sz w:val="18"/>
                <w:szCs w:val="18"/>
                <w:u w:val="none"/>
                <w:shd w:val="clear" w:color="auto" w:fill="auto"/>
                <w:lang w:val="en-US" w:eastAsia="zh-CN" w:bidi="ar"/>
              </w:rPr>
              <w:t>（一）拟作出的重大行政执法决定的情况说明（包括审计的依据、内容和时间，适用法律法规的情况，调查取证情况，听证、评估、鉴定的情况，以及其他需要说明的情况）；（二）拟作出的重大行政执法决定书文本；（三）审计工作底稿、审计证据；（四）被审计对象对征求意见的审计报告的反馈意见、审计组对被审计对象反馈意见的书面说明；（五）审计组组长、审计组所在部门出具的审核、复核意见书；（六）审计定性、处理、处罚适用的法律、法规、规章和规范性文件；（七）经过听证程序的，应当提交听证笔录；（八）经过评估、鉴定程序的，应当提交评估、鉴定报告；（九）法制科认为需要提交的其他材料。</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BlNjliZmYzNDljMjQ3ODUwYmI5YWVkYTBjNGIifQ=="/>
  </w:docVars>
  <w:rsids>
    <w:rsidRoot w:val="173D0DB2"/>
    <w:rsid w:val="0D5E5273"/>
    <w:rsid w:val="173D0DB2"/>
    <w:rsid w:val="29E2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2023-10-09T12:41:00Z</dcterms:created>
  <dc:creator>春暖花开</dc:creator>
  <cp:lastModifiedBy>刘强17735979928</cp:lastModifiedBy>
  <cp:lastPrinted>2023-10-10T03:08:00Z</cp:lastPrinted>
  <dcterms:modified xsi:type="dcterms:W3CDTF">2023-10-11T01:35:33Z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28EDC38F458146F0AE6364502098F23B_11</vt:lpwstr>
  </property>
</Properties>
</file>