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keepNext w:val="0"/>
        <w:keepLines w:val="0"/>
        <w:pageBreakBefore w:val="0"/>
        <w:widowControl w:val="0"/>
        <w:kinsoku/>
        <w:wordWrap/>
        <w:overflowPunct/>
        <w:topLinePunct w:val="0"/>
        <w:autoSpaceDE/>
        <w:autoSpaceDN/>
        <w:bidi w:val="0"/>
        <w:adjustRightInd/>
        <w:snapToGrid w:val="0"/>
        <w:spacing w:line="600" w:lineRule="exact"/>
        <w:textAlignment w:val="auto"/>
        <w:rPr>
          <w:rFonts w:hint="eastAsia" w:ascii="方正黑体_GBK" w:hAnsi="方正黑体_GBK" w:eastAsia="方正黑体_GBK" w:cs="方正黑体_GBK"/>
          <w:color w:val="auto"/>
          <w:sz w:val="32"/>
          <w:szCs w:val="32"/>
        </w:rPr>
      </w:pPr>
      <w:r>
        <w:rPr>
          <w:rFonts w:hint="eastAsia" w:ascii="黑体" w:hAnsi="黑体" w:eastAsia="黑体" w:cs="黑体"/>
          <w:color w:val="auto"/>
          <w:sz w:val="32"/>
          <w:szCs w:val="32"/>
        </w:rPr>
        <w:t>附件1</w:t>
      </w:r>
    </w:p>
    <w:p>
      <w:pPr>
        <w:pStyle w:val="10"/>
        <w:keepNext w:val="0"/>
        <w:keepLines w:val="0"/>
        <w:pageBreakBefore w:val="0"/>
        <w:widowControl w:val="0"/>
        <w:kinsoku/>
        <w:wordWrap/>
        <w:overflowPunct/>
        <w:topLinePunct w:val="0"/>
        <w:autoSpaceDE/>
        <w:autoSpaceDN/>
        <w:bidi w:val="0"/>
        <w:adjustRightInd/>
        <w:snapToGrid w:val="0"/>
        <w:spacing w:line="200" w:lineRule="exact"/>
        <w:textAlignment w:val="auto"/>
        <w:rPr>
          <w:rFonts w:hint="eastAsia" w:ascii="方正黑体_GBK" w:hAnsi="方正黑体_GBK" w:eastAsia="方正黑体_GBK" w:cs="方正黑体_GBK"/>
          <w:color w:val="auto"/>
          <w:sz w:val="32"/>
          <w:szCs w:val="32"/>
        </w:rPr>
      </w:pPr>
    </w:p>
    <w:p>
      <w:pPr>
        <w:keepNext w:val="0"/>
        <w:keepLines w:val="0"/>
        <w:pageBreakBefore w:val="0"/>
        <w:widowControl w:val="0"/>
        <w:kinsoku/>
        <w:wordWrap/>
        <w:overflowPunct/>
        <w:topLinePunct w:val="0"/>
        <w:autoSpaceDE/>
        <w:autoSpaceDN/>
        <w:bidi w:val="0"/>
        <w:adjustRightInd/>
        <w:snapToGrid/>
        <w:spacing w:after="160" w:afterLines="50" w:line="660" w:lineRule="exact"/>
        <w:jc w:val="center"/>
        <w:textAlignment w:val="auto"/>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突发公共卫生事件</w:t>
      </w:r>
      <w:r>
        <w:rPr>
          <w:rFonts w:hint="eastAsia" w:ascii="方正小标宋简体" w:hAnsi="方正小标宋简体" w:eastAsia="方正小标宋简体" w:cs="方正小标宋简体"/>
          <w:color w:val="auto"/>
          <w:sz w:val="44"/>
          <w:szCs w:val="44"/>
          <w:lang w:eastAsia="zh-CN"/>
        </w:rPr>
        <w:t>县</w:t>
      </w:r>
      <w:r>
        <w:rPr>
          <w:rFonts w:hint="eastAsia" w:ascii="方正小标宋简体" w:hAnsi="方正小标宋简体" w:eastAsia="方正小标宋简体" w:cs="方正小标宋简体"/>
          <w:color w:val="auto"/>
          <w:sz w:val="44"/>
          <w:szCs w:val="44"/>
        </w:rPr>
        <w:t>级应急响应流程图</w:t>
      </w:r>
    </w:p>
    <w:p>
      <w:pPr>
        <w:rPr>
          <w:rFonts w:hint="eastAsia" w:ascii="方正小标宋简体" w:hAnsi="方正小标宋简体" w:eastAsia="方正小标宋简体" w:cs="方正小标宋简体"/>
          <w:color w:val="auto"/>
          <w:sz w:val="44"/>
          <w:szCs w:val="44"/>
        </w:rPr>
      </w:pPr>
      <w:r>
        <w:rPr>
          <w:color w:val="auto"/>
        </w:rPr>
        <mc:AlternateContent>
          <mc:Choice Requires="wpg">
            <w:drawing>
              <wp:anchor distT="0" distB="0" distL="114300" distR="114300" simplePos="0" relativeHeight="251660288" behindDoc="0" locked="0" layoutInCell="1" allowOverlap="1">
                <wp:simplePos x="0" y="0"/>
                <wp:positionH relativeFrom="column">
                  <wp:posOffset>114300</wp:posOffset>
                </wp:positionH>
                <wp:positionV relativeFrom="paragraph">
                  <wp:posOffset>40005</wp:posOffset>
                </wp:positionV>
                <wp:extent cx="4094480" cy="6889750"/>
                <wp:effectExtent l="6350" t="6350" r="13970" b="19050"/>
                <wp:wrapNone/>
                <wp:docPr id="61" name="组合 21"/>
                <wp:cNvGraphicFramePr/>
                <a:graphic xmlns:a="http://schemas.openxmlformats.org/drawingml/2006/main">
                  <a:graphicData uri="http://schemas.microsoft.com/office/word/2010/wordprocessingGroup">
                    <wpg:wgp>
                      <wpg:cNvGrpSpPr/>
                      <wpg:grpSpPr>
                        <a:xfrm>
                          <a:off x="0" y="0"/>
                          <a:ext cx="4094704" cy="6889750"/>
                          <a:chOff x="9480" y="158015"/>
                          <a:chExt cx="6536" cy="10850"/>
                        </a:xfrm>
                      </wpg:grpSpPr>
                      <wps:wsp>
                        <wps:cNvPr id="6" name="直接箭头连接符 75"/>
                        <wps:cNvCnPr/>
                        <wps:spPr>
                          <a:xfrm>
                            <a:off x="10473" y="167451"/>
                            <a:ext cx="2211" cy="17"/>
                          </a:xfrm>
                          <a:prstGeom prst="straightConnector1">
                            <a:avLst/>
                          </a:prstGeom>
                          <a:ln w="6350" cap="flat" cmpd="sng">
                            <a:solidFill>
                              <a:srgbClr val="000000"/>
                            </a:solidFill>
                            <a:prstDash val="solid"/>
                            <a:miter/>
                            <a:headEnd type="none" w="med" len="med"/>
                            <a:tailEnd type="arrow" w="med" len="med"/>
                          </a:ln>
                        </wps:spPr>
                        <wps:bodyPr/>
                      </wps:wsp>
                      <wps:wsp>
                        <wps:cNvPr id="7" name="圆角矩形 78"/>
                        <wps:cNvSpPr/>
                        <wps:spPr>
                          <a:xfrm>
                            <a:off x="11852" y="158015"/>
                            <a:ext cx="3402" cy="667"/>
                          </a:xfrm>
                          <a:prstGeom prst="roundRect">
                            <a:avLst>
                              <a:gd name="adj" fmla="val 16667"/>
                            </a:avLst>
                          </a:prstGeom>
                          <a:solidFill>
                            <a:srgbClr val="FFFFFF"/>
                          </a:solidFill>
                          <a:ln w="12700" cap="flat" cmpd="sng">
                            <a:solidFill>
                              <a:srgbClr val="000000"/>
                            </a:solidFill>
                            <a:prstDash val="solid"/>
                            <a:miter/>
                            <a:headEnd type="none" w="med" len="med"/>
                            <a:tailEnd type="none" w="med" len="med"/>
                          </a:ln>
                        </wps:spPr>
                        <wps:txbx>
                          <w:txbxContent>
                            <w:p>
                              <w:pPr>
                                <w:jc w:val="center"/>
                                <w:rPr>
                                  <w:rFonts w:hint="eastAsia"/>
                                </w:rPr>
                              </w:pPr>
                              <w:r>
                                <w:rPr>
                                  <w:rFonts w:hint="eastAsia"/>
                                </w:rPr>
                                <w:t>突发公共卫生事件发生后</w:t>
                              </w:r>
                            </w:p>
                          </w:txbxContent>
                        </wps:txbx>
                        <wps:bodyPr anchor="ctr" upright="1"/>
                      </wps:wsp>
                      <wps:wsp>
                        <wps:cNvPr id="8" name="圆角矩形 79"/>
                        <wps:cNvSpPr/>
                        <wps:spPr>
                          <a:xfrm>
                            <a:off x="11856" y="159046"/>
                            <a:ext cx="3402" cy="703"/>
                          </a:xfrm>
                          <a:prstGeom prst="roundRect">
                            <a:avLst>
                              <a:gd name="adj" fmla="val 16667"/>
                            </a:avLst>
                          </a:prstGeom>
                          <a:noFill/>
                          <a:ln w="12700" cap="flat" cmpd="sng">
                            <a:solidFill>
                              <a:srgbClr val="000000"/>
                            </a:solidFill>
                            <a:prstDash val="solid"/>
                            <a:miter/>
                            <a:headEnd type="none" w="med" len="med"/>
                            <a:tailEnd type="none" w="med" len="med"/>
                          </a:ln>
                        </wps:spPr>
                        <wps:txbx>
                          <w:txbxContent>
                            <w:p>
                              <w:pPr>
                                <w:jc w:val="center"/>
                                <w:rPr>
                                  <w:rFonts w:hint="eastAsia"/>
                                </w:rPr>
                              </w:pPr>
                              <w:r>
                                <w:rPr>
                                  <w:rFonts w:hint="eastAsia"/>
                                </w:rPr>
                                <w:t>责任报告单位报送事件信息</w:t>
                              </w:r>
                            </w:p>
                          </w:txbxContent>
                        </wps:txbx>
                        <wps:bodyPr anchor="ctr" upright="1"/>
                      </wps:wsp>
                      <wps:wsp>
                        <wps:cNvPr id="9" name="圆角矩形 80"/>
                        <wps:cNvSpPr/>
                        <wps:spPr>
                          <a:xfrm>
                            <a:off x="11892" y="160141"/>
                            <a:ext cx="3402" cy="869"/>
                          </a:xfrm>
                          <a:prstGeom prst="roundRect">
                            <a:avLst>
                              <a:gd name="adj" fmla="val 16667"/>
                            </a:avLst>
                          </a:prstGeom>
                          <a:solidFill>
                            <a:srgbClr val="FFFFFF"/>
                          </a:solidFill>
                          <a:ln w="12700" cap="flat" cmpd="sng">
                            <a:solidFill>
                              <a:srgbClr val="000000"/>
                            </a:solidFill>
                            <a:prstDash val="solid"/>
                            <a:miter/>
                            <a:headEnd type="none" w="med" len="med"/>
                            <a:tailEnd type="none" w="med" len="med"/>
                          </a:ln>
                        </wps:spPr>
                        <wps:txbx>
                          <w:txbxContent>
                            <w:p>
                              <w:pPr>
                                <w:jc w:val="center"/>
                                <w:rPr>
                                  <w:rFonts w:hint="eastAsia"/>
                                </w:rPr>
                              </w:pPr>
                              <w:r>
                                <w:rPr>
                                  <w:rFonts w:hint="eastAsia"/>
                                  <w:lang w:eastAsia="zh-CN"/>
                                </w:rPr>
                                <w:t>县</w:t>
                              </w:r>
                              <w:r>
                                <w:rPr>
                                  <w:rFonts w:hint="eastAsia"/>
                                </w:rPr>
                                <w:t>指挥部办公室分析研判事件，</w:t>
                              </w:r>
                            </w:p>
                            <w:p>
                              <w:pPr>
                                <w:jc w:val="center"/>
                              </w:pPr>
                              <w:r>
                                <w:rPr>
                                  <w:rFonts w:hint="eastAsia"/>
                                </w:rPr>
                                <w:t>启动应急响应</w:t>
                              </w:r>
                            </w:p>
                          </w:txbxContent>
                        </wps:txbx>
                        <wps:bodyPr anchor="ctr" upright="1"/>
                      </wps:wsp>
                      <wps:wsp>
                        <wps:cNvPr id="10" name="圆角矩形 81"/>
                        <wps:cNvSpPr/>
                        <wps:spPr>
                          <a:xfrm>
                            <a:off x="9480" y="160392"/>
                            <a:ext cx="1928" cy="624"/>
                          </a:xfrm>
                          <a:prstGeom prst="roundRect">
                            <a:avLst>
                              <a:gd name="adj" fmla="val 16667"/>
                            </a:avLst>
                          </a:prstGeom>
                          <a:solidFill>
                            <a:srgbClr val="FFFFFF"/>
                          </a:solidFill>
                          <a:ln w="12700" cap="flat" cmpd="sng">
                            <a:solidFill>
                              <a:srgbClr val="000000"/>
                            </a:solidFill>
                            <a:prstDash val="solid"/>
                            <a:miter/>
                            <a:headEnd type="none" w="med" len="med"/>
                            <a:tailEnd type="none" w="med" len="med"/>
                          </a:ln>
                        </wps:spPr>
                        <wps:txbx>
                          <w:txbxContent>
                            <w:p>
                              <w:pPr>
                                <w:jc w:val="center"/>
                              </w:pPr>
                              <w:r>
                                <w:rPr>
                                  <w:rFonts w:hint="eastAsia"/>
                                </w:rPr>
                                <w:t>三级响应</w:t>
                              </w:r>
                            </w:p>
                          </w:txbxContent>
                        </wps:txbx>
                        <wps:bodyPr anchor="ctr" upright="1"/>
                      </wps:wsp>
                      <wps:wsp>
                        <wps:cNvPr id="11" name="圆角矩形 88"/>
                        <wps:cNvSpPr/>
                        <wps:spPr>
                          <a:xfrm>
                            <a:off x="9494" y="162437"/>
                            <a:ext cx="1939" cy="624"/>
                          </a:xfrm>
                          <a:prstGeom prst="roundRect">
                            <a:avLst>
                              <a:gd name="adj" fmla="val 16667"/>
                            </a:avLst>
                          </a:prstGeom>
                          <a:solidFill>
                            <a:srgbClr val="FFFFFF"/>
                          </a:solidFill>
                          <a:ln w="12700" cap="flat" cmpd="sng">
                            <a:solidFill>
                              <a:srgbClr val="000000"/>
                            </a:solidFill>
                            <a:prstDash val="solid"/>
                            <a:miter/>
                            <a:headEnd type="none" w="med" len="med"/>
                            <a:tailEnd type="none" w="med" len="med"/>
                          </a:ln>
                        </wps:spPr>
                        <wps:txbx>
                          <w:txbxContent>
                            <w:p>
                              <w:pPr>
                                <w:jc w:val="center"/>
                              </w:pPr>
                              <w:r>
                                <w:rPr>
                                  <w:rFonts w:hint="eastAsia"/>
                                </w:rPr>
                                <w:t>采取响应措施</w:t>
                              </w:r>
                            </w:p>
                          </w:txbxContent>
                        </wps:txbx>
                        <wps:bodyPr anchor="ctr" upright="1"/>
                      </wps:wsp>
                      <wps:wsp>
                        <wps:cNvPr id="12" name="直接箭头连接符 89"/>
                        <wps:cNvCnPr/>
                        <wps:spPr>
                          <a:xfrm flipH="1">
                            <a:off x="11389" y="160648"/>
                            <a:ext cx="482" cy="11"/>
                          </a:xfrm>
                          <a:prstGeom prst="straightConnector1">
                            <a:avLst/>
                          </a:prstGeom>
                          <a:ln w="6350" cap="flat" cmpd="sng">
                            <a:solidFill>
                              <a:srgbClr val="000000"/>
                            </a:solidFill>
                            <a:prstDash val="solid"/>
                            <a:miter/>
                            <a:headEnd type="none" w="med" len="med"/>
                            <a:tailEnd type="arrow" w="med" len="med"/>
                          </a:ln>
                        </wps:spPr>
                        <wps:bodyPr/>
                      </wps:wsp>
                      <wps:wsp>
                        <wps:cNvPr id="13" name="直接箭头连接符 90"/>
                        <wps:cNvCnPr/>
                        <wps:spPr>
                          <a:xfrm>
                            <a:off x="10456" y="161025"/>
                            <a:ext cx="0" cy="1389"/>
                          </a:xfrm>
                          <a:prstGeom prst="straightConnector1">
                            <a:avLst/>
                          </a:prstGeom>
                          <a:ln w="6350" cap="flat" cmpd="sng">
                            <a:solidFill>
                              <a:srgbClr val="000000"/>
                            </a:solidFill>
                            <a:prstDash val="solid"/>
                            <a:miter/>
                            <a:headEnd type="none" w="med" len="med"/>
                            <a:tailEnd type="arrow" w="med" len="med"/>
                          </a:ln>
                        </wps:spPr>
                        <wps:bodyPr/>
                      </wps:wsp>
                      <wps:wsp>
                        <wps:cNvPr id="14" name="直接连接符 91"/>
                        <wps:cNvCnPr/>
                        <wps:spPr>
                          <a:xfrm>
                            <a:off x="10449" y="163038"/>
                            <a:ext cx="3" cy="4422"/>
                          </a:xfrm>
                          <a:prstGeom prst="line">
                            <a:avLst/>
                          </a:prstGeom>
                          <a:ln w="6350" cap="flat" cmpd="sng">
                            <a:solidFill>
                              <a:srgbClr val="000000"/>
                            </a:solidFill>
                            <a:prstDash val="solid"/>
                            <a:miter/>
                            <a:headEnd type="none" w="med" len="med"/>
                            <a:tailEnd type="none" w="med" len="med"/>
                          </a:ln>
                        </wps:spPr>
                        <wps:bodyPr upright="1"/>
                      </wps:wsp>
                      <wps:wsp>
                        <wps:cNvPr id="15" name="上下箭头 92"/>
                        <wps:cNvSpPr/>
                        <wps:spPr>
                          <a:xfrm>
                            <a:off x="13505" y="158692"/>
                            <a:ext cx="119" cy="340"/>
                          </a:xfrm>
                          <a:prstGeom prst="upDownArrow">
                            <a:avLst>
                              <a:gd name="adj1" fmla="val 50000"/>
                              <a:gd name="adj2" fmla="val 49973"/>
                            </a:avLst>
                          </a:prstGeom>
                          <a:noFill/>
                          <a:ln w="12700" cap="flat" cmpd="sng">
                            <a:solidFill>
                              <a:srgbClr val="000000"/>
                            </a:solidFill>
                            <a:prstDash val="solid"/>
                            <a:miter/>
                            <a:headEnd type="none" w="med" len="med"/>
                            <a:tailEnd type="none" w="med" len="med"/>
                          </a:ln>
                        </wps:spPr>
                        <wps:bodyPr anchor="ctr" upright="1"/>
                      </wps:wsp>
                      <wps:wsp>
                        <wps:cNvPr id="16" name="直接箭头连接符 93"/>
                        <wps:cNvCnPr/>
                        <wps:spPr>
                          <a:xfrm>
                            <a:off x="13573" y="159753"/>
                            <a:ext cx="1" cy="387"/>
                          </a:xfrm>
                          <a:prstGeom prst="straightConnector1">
                            <a:avLst/>
                          </a:prstGeom>
                          <a:ln w="6350" cap="flat" cmpd="sng">
                            <a:solidFill>
                              <a:srgbClr val="000000"/>
                            </a:solidFill>
                            <a:prstDash val="solid"/>
                            <a:miter/>
                            <a:headEnd type="none" w="med" len="med"/>
                            <a:tailEnd type="arrow" w="med" len="med"/>
                          </a:ln>
                        </wps:spPr>
                        <wps:bodyPr/>
                      </wps:wsp>
                      <wps:wsp>
                        <wps:cNvPr id="18" name="直接连接符 5"/>
                        <wps:cNvCnPr/>
                        <wps:spPr>
                          <a:xfrm flipV="1">
                            <a:off x="15466" y="167194"/>
                            <a:ext cx="550" cy="10"/>
                          </a:xfrm>
                          <a:prstGeom prst="line">
                            <a:avLst/>
                          </a:prstGeom>
                          <a:ln w="9525" cap="flat" cmpd="sng">
                            <a:solidFill>
                              <a:srgbClr val="000000"/>
                            </a:solidFill>
                            <a:prstDash val="solid"/>
                            <a:headEnd type="none" w="med" len="med"/>
                            <a:tailEnd type="none" w="med" len="med"/>
                          </a:ln>
                        </wps:spPr>
                        <wps:bodyPr upright="1"/>
                      </wps:wsp>
                      <wps:wsp>
                        <wps:cNvPr id="30" name="直接连接符 3"/>
                        <wps:cNvCnPr/>
                        <wps:spPr>
                          <a:xfrm flipH="1">
                            <a:off x="15407" y="162658"/>
                            <a:ext cx="1" cy="4548"/>
                          </a:xfrm>
                          <a:prstGeom prst="line">
                            <a:avLst/>
                          </a:prstGeom>
                          <a:ln w="9525" cap="flat" cmpd="sng">
                            <a:solidFill>
                              <a:srgbClr val="000000"/>
                            </a:solidFill>
                            <a:prstDash val="solid"/>
                            <a:headEnd type="none" w="med" len="med"/>
                            <a:tailEnd type="none" w="med" len="med"/>
                          </a:ln>
                        </wps:spPr>
                        <wps:bodyPr upright="1"/>
                      </wps:wsp>
                      <wps:wsp>
                        <wps:cNvPr id="31" name="直接箭头连接符 76"/>
                        <wps:cNvCnPr/>
                        <wps:spPr>
                          <a:xfrm flipV="1">
                            <a:off x="14601" y="164962"/>
                            <a:ext cx="746" cy="8"/>
                          </a:xfrm>
                          <a:prstGeom prst="straightConnector1">
                            <a:avLst/>
                          </a:prstGeom>
                          <a:ln w="6350" cap="flat" cmpd="sng">
                            <a:solidFill>
                              <a:srgbClr val="000000"/>
                            </a:solidFill>
                            <a:prstDash val="solid"/>
                            <a:miter/>
                            <a:headEnd type="none" w="med" len="med"/>
                            <a:tailEnd type="arrow" w="med" len="med"/>
                          </a:ln>
                        </wps:spPr>
                        <wps:bodyPr/>
                      </wps:wsp>
                      <wps:wsp>
                        <wps:cNvPr id="32" name="直接箭头连接符 77"/>
                        <wps:cNvCnPr/>
                        <wps:spPr>
                          <a:xfrm>
                            <a:off x="13601" y="162287"/>
                            <a:ext cx="0" cy="385"/>
                          </a:xfrm>
                          <a:prstGeom prst="straightConnector1">
                            <a:avLst/>
                          </a:prstGeom>
                          <a:ln w="6350" cap="flat" cmpd="sng">
                            <a:solidFill>
                              <a:srgbClr val="000000"/>
                            </a:solidFill>
                            <a:prstDash val="solid"/>
                            <a:miter/>
                            <a:headEnd type="none" w="med" len="med"/>
                            <a:tailEnd type="arrow" w="med" len="med"/>
                          </a:ln>
                        </wps:spPr>
                        <wps:bodyPr/>
                      </wps:wsp>
                      <wps:wsp>
                        <wps:cNvPr id="33" name="圆角矩形 82"/>
                        <wps:cNvSpPr/>
                        <wps:spPr>
                          <a:xfrm>
                            <a:off x="12635" y="162665"/>
                            <a:ext cx="1928" cy="624"/>
                          </a:xfrm>
                          <a:prstGeom prst="roundRect">
                            <a:avLst>
                              <a:gd name="adj" fmla="val 16667"/>
                            </a:avLst>
                          </a:prstGeom>
                          <a:solidFill>
                            <a:srgbClr val="FFFFFF"/>
                          </a:solidFill>
                          <a:ln w="12700" cap="flat" cmpd="sng">
                            <a:solidFill>
                              <a:srgbClr val="000000"/>
                            </a:solidFill>
                            <a:prstDash val="solid"/>
                            <a:miter/>
                            <a:headEnd type="none" w="med" len="med"/>
                            <a:tailEnd type="none" w="med" len="med"/>
                          </a:ln>
                        </wps:spPr>
                        <wps:txbx>
                          <w:txbxContent>
                            <w:p>
                              <w:pPr>
                                <w:jc w:val="center"/>
                              </w:pPr>
                              <w:r>
                                <w:rPr>
                                  <w:rFonts w:hint="eastAsia"/>
                                </w:rPr>
                                <w:t>二级响应</w:t>
                              </w:r>
                            </w:p>
                          </w:txbxContent>
                        </wps:txbx>
                        <wps:bodyPr anchor="ctr" upright="1"/>
                      </wps:wsp>
                      <wps:wsp>
                        <wps:cNvPr id="34" name="圆角矩形 83"/>
                        <wps:cNvSpPr/>
                        <wps:spPr>
                          <a:xfrm>
                            <a:off x="12619" y="163642"/>
                            <a:ext cx="1928" cy="627"/>
                          </a:xfrm>
                          <a:prstGeom prst="roundRect">
                            <a:avLst>
                              <a:gd name="adj" fmla="val 16667"/>
                            </a:avLst>
                          </a:prstGeom>
                          <a:solidFill>
                            <a:srgbClr val="FFFFFF"/>
                          </a:solidFill>
                          <a:ln w="12700" cap="flat" cmpd="sng">
                            <a:solidFill>
                              <a:srgbClr val="000000"/>
                            </a:solidFill>
                            <a:prstDash val="solid"/>
                            <a:miter/>
                            <a:headEnd type="none" w="med" len="med"/>
                            <a:tailEnd type="none" w="med" len="med"/>
                          </a:ln>
                        </wps:spPr>
                        <wps:txbx>
                          <w:txbxContent>
                            <w:p>
                              <w:pPr>
                                <w:jc w:val="center"/>
                              </w:pPr>
                              <w:r>
                                <w:rPr>
                                  <w:rFonts w:hint="eastAsia"/>
                                </w:rPr>
                                <w:t>一级响应</w:t>
                              </w:r>
                            </w:p>
                          </w:txbxContent>
                        </wps:txbx>
                        <wps:bodyPr anchor="ctr" upright="1"/>
                      </wps:wsp>
                      <wps:wsp>
                        <wps:cNvPr id="35" name="圆角矩形 84"/>
                        <wps:cNvSpPr/>
                        <wps:spPr>
                          <a:xfrm>
                            <a:off x="12652" y="164550"/>
                            <a:ext cx="1928" cy="840"/>
                          </a:xfrm>
                          <a:prstGeom prst="roundRect">
                            <a:avLst>
                              <a:gd name="adj" fmla="val 16667"/>
                            </a:avLst>
                          </a:prstGeom>
                          <a:solidFill>
                            <a:srgbClr val="FFFFFF"/>
                          </a:solidFill>
                          <a:ln w="12700" cap="flat" cmpd="sng">
                            <a:solidFill>
                              <a:srgbClr val="000000"/>
                            </a:solidFill>
                            <a:prstDash val="solid"/>
                            <a:miter/>
                            <a:headEnd type="none" w="med" len="med"/>
                            <a:tailEnd type="none" w="med" len="med"/>
                          </a:ln>
                        </wps:spPr>
                        <wps:txbx>
                          <w:txbxContent>
                            <w:p>
                              <w:pPr>
                                <w:jc w:val="center"/>
                              </w:pPr>
                              <w:r>
                                <w:rPr>
                                  <w:rFonts w:hint="eastAsia"/>
                                </w:rPr>
                                <w:t>指挥协调</w:t>
                              </w:r>
                            </w:p>
                            <w:p>
                              <w:pPr>
                                <w:jc w:val="center"/>
                              </w:pPr>
                              <w:r>
                                <w:rPr>
                                  <w:rFonts w:hint="eastAsia"/>
                                </w:rPr>
                                <w:t>应急处置</w:t>
                              </w:r>
                            </w:p>
                          </w:txbxContent>
                        </wps:txbx>
                        <wps:bodyPr anchor="ctr" upright="1"/>
                      </wps:wsp>
                      <wps:wsp>
                        <wps:cNvPr id="36" name="圆角矩形 85"/>
                        <wps:cNvSpPr/>
                        <wps:spPr>
                          <a:xfrm>
                            <a:off x="12670" y="165882"/>
                            <a:ext cx="1928" cy="839"/>
                          </a:xfrm>
                          <a:prstGeom prst="roundRect">
                            <a:avLst>
                              <a:gd name="adj" fmla="val 16667"/>
                            </a:avLst>
                          </a:prstGeom>
                          <a:solidFill>
                            <a:srgbClr val="FFFFFF"/>
                          </a:solidFill>
                          <a:ln w="12700" cap="flat" cmpd="sng">
                            <a:solidFill>
                              <a:srgbClr val="000000"/>
                            </a:solidFill>
                            <a:prstDash val="solid"/>
                            <a:miter/>
                            <a:headEnd type="none" w="med" len="med"/>
                            <a:tailEnd type="none" w="med" len="med"/>
                          </a:ln>
                        </wps:spPr>
                        <wps:txbx>
                          <w:txbxContent>
                            <w:p>
                              <w:pPr>
                                <w:jc w:val="center"/>
                              </w:pPr>
                              <w:r>
                                <w:rPr>
                                  <w:rFonts w:hint="eastAsia"/>
                                </w:rPr>
                                <w:t>符合应急响应</w:t>
                              </w:r>
                            </w:p>
                            <w:p>
                              <w:pPr>
                                <w:jc w:val="center"/>
                              </w:pPr>
                              <w:r>
                                <w:rPr>
                                  <w:rFonts w:hint="eastAsia"/>
                                </w:rPr>
                                <w:t>结束条件</w:t>
                              </w:r>
                            </w:p>
                          </w:txbxContent>
                        </wps:txbx>
                        <wps:bodyPr anchor="ctr" upright="1"/>
                      </wps:wsp>
                      <wps:wsp>
                        <wps:cNvPr id="37" name="圆角矩形 86"/>
                        <wps:cNvSpPr/>
                        <wps:spPr>
                          <a:xfrm>
                            <a:off x="12686" y="167143"/>
                            <a:ext cx="1928" cy="624"/>
                          </a:xfrm>
                          <a:prstGeom prst="roundRect">
                            <a:avLst>
                              <a:gd name="adj" fmla="val 16667"/>
                            </a:avLst>
                          </a:prstGeom>
                          <a:solidFill>
                            <a:srgbClr val="FFFFFF"/>
                          </a:solidFill>
                          <a:ln w="12700" cap="flat" cmpd="sng">
                            <a:solidFill>
                              <a:srgbClr val="000000"/>
                            </a:solidFill>
                            <a:prstDash val="solid"/>
                            <a:miter/>
                            <a:headEnd type="none" w="med" len="med"/>
                            <a:tailEnd type="none" w="med" len="med"/>
                          </a:ln>
                        </wps:spPr>
                        <wps:txbx>
                          <w:txbxContent>
                            <w:p>
                              <w:pPr>
                                <w:jc w:val="center"/>
                              </w:pPr>
                              <w:r>
                                <w:rPr>
                                  <w:rFonts w:hint="eastAsia"/>
                                </w:rPr>
                                <w:t>结束响应</w:t>
                              </w:r>
                            </w:p>
                          </w:txbxContent>
                        </wps:txbx>
                        <wps:bodyPr anchor="ctr" upright="1"/>
                      </wps:wsp>
                      <wps:wsp>
                        <wps:cNvPr id="38" name="圆角矩形 87"/>
                        <wps:cNvSpPr/>
                        <wps:spPr>
                          <a:xfrm>
                            <a:off x="12732" y="168241"/>
                            <a:ext cx="1928" cy="624"/>
                          </a:xfrm>
                          <a:prstGeom prst="roundRect">
                            <a:avLst>
                              <a:gd name="adj" fmla="val 16667"/>
                            </a:avLst>
                          </a:prstGeom>
                          <a:solidFill>
                            <a:srgbClr val="FFFFFF"/>
                          </a:solidFill>
                          <a:ln w="12700" cap="flat" cmpd="sng">
                            <a:solidFill>
                              <a:srgbClr val="000000"/>
                            </a:solidFill>
                            <a:prstDash val="solid"/>
                            <a:miter/>
                            <a:headEnd type="none" w="med" len="med"/>
                            <a:tailEnd type="none" w="med" len="med"/>
                          </a:ln>
                        </wps:spPr>
                        <wps:txbx>
                          <w:txbxContent>
                            <w:p>
                              <w:pPr>
                                <w:jc w:val="center"/>
                              </w:pPr>
                              <w:r>
                                <w:rPr>
                                  <w:rFonts w:hint="eastAsia"/>
                                </w:rPr>
                                <w:t>后期处置</w:t>
                              </w:r>
                            </w:p>
                          </w:txbxContent>
                        </wps:txbx>
                        <wps:bodyPr anchor="ctr" upright="1"/>
                      </wps:wsp>
                      <wps:wsp>
                        <wps:cNvPr id="39" name="直接箭头连接符 94"/>
                        <wps:cNvCnPr/>
                        <wps:spPr>
                          <a:xfrm>
                            <a:off x="13583" y="161006"/>
                            <a:ext cx="9" cy="423"/>
                          </a:xfrm>
                          <a:prstGeom prst="straightConnector1">
                            <a:avLst/>
                          </a:prstGeom>
                          <a:ln w="6350" cap="flat" cmpd="sng">
                            <a:solidFill>
                              <a:srgbClr val="000000"/>
                            </a:solidFill>
                            <a:prstDash val="solid"/>
                            <a:miter/>
                            <a:headEnd type="none" w="med" len="med"/>
                            <a:tailEnd type="arrow" w="med" len="med"/>
                          </a:ln>
                        </wps:spPr>
                        <wps:bodyPr/>
                      </wps:wsp>
                      <wpg:grpSp>
                        <wpg:cNvPr id="42" name="组合 18"/>
                        <wpg:cNvGrpSpPr/>
                        <wpg:grpSpPr>
                          <a:xfrm>
                            <a:off x="14559" y="163003"/>
                            <a:ext cx="233" cy="915"/>
                            <a:chOff x="11554" y="317300"/>
                            <a:chExt cx="233" cy="915"/>
                          </a:xfrm>
                        </wpg:grpSpPr>
                        <wps:wsp>
                          <wps:cNvPr id="40" name="肘形连接符 95"/>
                          <wps:cNvCnPr/>
                          <wps:spPr>
                            <a:xfrm>
                              <a:off x="11554" y="317300"/>
                              <a:ext cx="233" cy="908"/>
                            </a:xfrm>
                            <a:prstGeom prst="bentConnector2">
                              <a:avLst/>
                            </a:prstGeom>
                            <a:ln w="12700" cap="flat" cmpd="sng">
                              <a:solidFill>
                                <a:srgbClr val="000000"/>
                              </a:solidFill>
                              <a:prstDash val="solid"/>
                              <a:miter/>
                              <a:headEnd type="none" w="med" len="med"/>
                              <a:tailEnd type="none" w="med" len="med"/>
                            </a:ln>
                          </wps:spPr>
                          <wps:bodyPr/>
                        </wps:wsp>
                        <wps:wsp>
                          <wps:cNvPr id="41" name="直接连接符 96"/>
                          <wps:cNvCnPr/>
                          <wps:spPr>
                            <a:xfrm>
                              <a:off x="11569" y="318205"/>
                              <a:ext cx="218" cy="11"/>
                            </a:xfrm>
                            <a:prstGeom prst="line">
                              <a:avLst/>
                            </a:prstGeom>
                            <a:ln w="6350" cap="flat" cmpd="sng">
                              <a:solidFill>
                                <a:srgbClr val="000000"/>
                              </a:solidFill>
                              <a:prstDash val="solid"/>
                              <a:miter/>
                              <a:headEnd type="none" w="med" len="med"/>
                              <a:tailEnd type="none" w="med" len="med"/>
                            </a:ln>
                          </wps:spPr>
                          <wps:bodyPr upright="1"/>
                        </wps:wsp>
                      </wpg:grpSp>
                      <wps:wsp>
                        <wps:cNvPr id="43" name="直接箭头连接符 99"/>
                        <wps:cNvCnPr/>
                        <wps:spPr>
                          <a:xfrm>
                            <a:off x="13607" y="164248"/>
                            <a:ext cx="1" cy="302"/>
                          </a:xfrm>
                          <a:prstGeom prst="straightConnector1">
                            <a:avLst/>
                          </a:prstGeom>
                          <a:ln w="6350" cap="flat" cmpd="sng">
                            <a:solidFill>
                              <a:srgbClr val="000000"/>
                            </a:solidFill>
                            <a:prstDash val="solid"/>
                            <a:miter/>
                            <a:headEnd type="none" w="med" len="med"/>
                            <a:tailEnd type="arrow" w="med" len="med"/>
                          </a:ln>
                        </wps:spPr>
                        <wps:bodyPr/>
                      </wps:wsp>
                      <wps:wsp>
                        <wps:cNvPr id="44" name="直接箭头连接符 100"/>
                        <wps:cNvCnPr/>
                        <wps:spPr>
                          <a:xfrm flipH="1">
                            <a:off x="13642" y="165384"/>
                            <a:ext cx="7" cy="454"/>
                          </a:xfrm>
                          <a:prstGeom prst="straightConnector1">
                            <a:avLst/>
                          </a:prstGeom>
                          <a:ln w="6350" cap="flat" cmpd="sng">
                            <a:solidFill>
                              <a:srgbClr val="000000"/>
                            </a:solidFill>
                            <a:prstDash val="solid"/>
                            <a:miter/>
                            <a:headEnd type="none" w="med" len="med"/>
                            <a:tailEnd type="arrow" w="med" len="med"/>
                          </a:ln>
                        </wps:spPr>
                        <wps:bodyPr/>
                      </wps:wsp>
                      <wpg:grpSp>
                        <wpg:cNvPr id="47" name="组合 19"/>
                        <wpg:cNvGrpSpPr/>
                        <wpg:grpSpPr>
                          <a:xfrm>
                            <a:off x="12374" y="163011"/>
                            <a:ext cx="261" cy="953"/>
                            <a:chOff x="9369" y="317266"/>
                            <a:chExt cx="261" cy="953"/>
                          </a:xfrm>
                        </wpg:grpSpPr>
                        <wps:wsp>
                          <wps:cNvPr id="45" name="直接连接符 97"/>
                          <wps:cNvCnPr/>
                          <wps:spPr>
                            <a:xfrm flipH="1" flipV="1">
                              <a:off x="9369" y="317266"/>
                              <a:ext cx="231" cy="4"/>
                            </a:xfrm>
                            <a:prstGeom prst="line">
                              <a:avLst/>
                            </a:prstGeom>
                            <a:ln w="6350" cap="flat" cmpd="sng">
                              <a:solidFill>
                                <a:srgbClr val="000000"/>
                              </a:solidFill>
                              <a:prstDash val="solid"/>
                              <a:miter/>
                              <a:headEnd type="none" w="med" len="med"/>
                              <a:tailEnd type="none" w="med" len="med"/>
                            </a:ln>
                          </wps:spPr>
                          <wps:bodyPr upright="1"/>
                        </wps:wsp>
                        <wps:wsp>
                          <wps:cNvPr id="46" name="肘形连接符 98"/>
                          <wps:cNvCnPr/>
                          <wps:spPr>
                            <a:xfrm rot="10800000">
                              <a:off x="9384" y="317275"/>
                              <a:ext cx="246" cy="945"/>
                            </a:xfrm>
                            <a:prstGeom prst="bentConnector2">
                              <a:avLst/>
                            </a:prstGeom>
                            <a:ln w="6350" cap="flat" cmpd="sng">
                              <a:solidFill>
                                <a:srgbClr val="000000"/>
                              </a:solidFill>
                              <a:prstDash val="solid"/>
                              <a:miter/>
                              <a:headEnd type="none" w="med" len="med"/>
                              <a:tailEnd type="none" w="med" len="med"/>
                            </a:ln>
                          </wps:spPr>
                          <wps:bodyPr/>
                        </wps:wsp>
                      </wpg:grpSp>
                      <wps:wsp>
                        <wps:cNvPr id="48" name="直接箭头连接符 102"/>
                        <wps:cNvCnPr/>
                        <wps:spPr>
                          <a:xfrm>
                            <a:off x="13672" y="166710"/>
                            <a:ext cx="0" cy="454"/>
                          </a:xfrm>
                          <a:prstGeom prst="straightConnector1">
                            <a:avLst/>
                          </a:prstGeom>
                          <a:ln w="6350" cap="flat" cmpd="sng">
                            <a:solidFill>
                              <a:srgbClr val="000000"/>
                            </a:solidFill>
                            <a:prstDash val="solid"/>
                            <a:miter/>
                            <a:headEnd type="none" w="med" len="med"/>
                            <a:tailEnd type="arrow" w="med" len="med"/>
                          </a:ln>
                        </wps:spPr>
                        <wps:bodyPr/>
                      </wps:wsp>
                      <wps:wsp>
                        <wps:cNvPr id="49" name="上下箭头 107"/>
                        <wps:cNvSpPr/>
                        <wps:spPr>
                          <a:xfrm>
                            <a:off x="13532" y="163284"/>
                            <a:ext cx="119" cy="353"/>
                          </a:xfrm>
                          <a:prstGeom prst="upDownArrow">
                            <a:avLst>
                              <a:gd name="adj1" fmla="val 50000"/>
                              <a:gd name="adj2" fmla="val 49989"/>
                            </a:avLst>
                          </a:prstGeom>
                          <a:noFill/>
                          <a:ln w="12700" cap="flat" cmpd="sng">
                            <a:solidFill>
                              <a:srgbClr val="000000"/>
                            </a:solidFill>
                            <a:prstDash val="solid"/>
                            <a:miter/>
                            <a:headEnd type="none" w="med" len="med"/>
                            <a:tailEnd type="none" w="med" len="med"/>
                          </a:ln>
                        </wps:spPr>
                        <wps:bodyPr anchor="ctr" upright="1"/>
                      </wps:wsp>
                      <wps:wsp>
                        <wps:cNvPr id="50" name="圆角矩形 112"/>
                        <wps:cNvSpPr/>
                        <wps:spPr>
                          <a:xfrm>
                            <a:off x="12441" y="161444"/>
                            <a:ext cx="2357" cy="809"/>
                          </a:xfrm>
                          <a:prstGeom prst="roundRect">
                            <a:avLst>
                              <a:gd name="adj" fmla="val 16667"/>
                            </a:avLst>
                          </a:prstGeom>
                          <a:solidFill>
                            <a:srgbClr val="FFFFFF"/>
                          </a:solidFill>
                          <a:ln w="12700" cap="flat" cmpd="sng">
                            <a:solidFill>
                              <a:srgbClr val="000000"/>
                            </a:solidFill>
                            <a:prstDash val="solid"/>
                            <a:miter/>
                            <a:headEnd type="none" w="med" len="med"/>
                            <a:tailEnd type="none" w="med" len="med"/>
                          </a:ln>
                        </wps:spPr>
                        <wps:txbx>
                          <w:txbxContent>
                            <w:p>
                              <w:pPr>
                                <w:spacing w:line="280" w:lineRule="exact"/>
                                <w:jc w:val="center"/>
                              </w:pPr>
                              <w:r>
                                <w:rPr>
                                  <w:rFonts w:hint="eastAsia"/>
                                </w:rPr>
                                <w:t>上报</w:t>
                              </w:r>
                              <w:r>
                                <w:rPr>
                                  <w:rFonts w:hint="eastAsia"/>
                                  <w:lang w:eastAsia="zh-CN"/>
                                </w:rPr>
                                <w:t>县</w:t>
                              </w:r>
                              <w:r>
                                <w:rPr>
                                  <w:rFonts w:hint="eastAsia"/>
                                </w:rPr>
                                <w:t>指挥部</w:t>
                              </w:r>
                            </w:p>
                            <w:p>
                              <w:pPr>
                                <w:spacing w:line="280" w:lineRule="exact"/>
                                <w:jc w:val="center"/>
                              </w:pPr>
                              <w:r>
                                <w:rPr>
                                  <w:rFonts w:hint="eastAsia"/>
                                </w:rPr>
                                <w:t>启动应急响应</w:t>
                              </w:r>
                            </w:p>
                          </w:txbxContent>
                        </wps:txbx>
                        <wps:bodyPr anchor="ctr" upright="1"/>
                      </wps:wsp>
                      <wps:wsp>
                        <wps:cNvPr id="56" name="直接连接符 11"/>
                        <wps:cNvCnPr/>
                        <wps:spPr>
                          <a:xfrm flipV="1">
                            <a:off x="15410" y="162688"/>
                            <a:ext cx="549" cy="10"/>
                          </a:xfrm>
                          <a:prstGeom prst="line">
                            <a:avLst/>
                          </a:prstGeom>
                          <a:ln w="9525" cap="flat" cmpd="sng">
                            <a:solidFill>
                              <a:srgbClr val="000000"/>
                            </a:solidFill>
                            <a:prstDash val="solid"/>
                            <a:headEnd type="none" w="med" len="med"/>
                            <a:tailEnd type="none" w="med" len="med"/>
                          </a:ln>
                        </wps:spPr>
                        <wps:bodyPr upright="1"/>
                      </wps:wsp>
                      <wps:wsp>
                        <wps:cNvPr id="60" name="直接箭头连接符 20"/>
                        <wps:cNvCnPr/>
                        <wps:spPr>
                          <a:xfrm>
                            <a:off x="13695" y="167783"/>
                            <a:ext cx="0" cy="454"/>
                          </a:xfrm>
                          <a:prstGeom prst="straightConnector1">
                            <a:avLst/>
                          </a:prstGeom>
                          <a:ln w="6350" cap="flat" cmpd="sng">
                            <a:solidFill>
                              <a:srgbClr val="000000"/>
                            </a:solidFill>
                            <a:prstDash val="solid"/>
                            <a:miter/>
                            <a:headEnd type="none" w="med" len="med"/>
                            <a:tailEnd type="arrow" w="med" len="med"/>
                          </a:ln>
                        </wps:spPr>
                        <wps:bodyPr/>
                      </wps:wsp>
                    </wpg:wgp>
                  </a:graphicData>
                </a:graphic>
              </wp:anchor>
            </w:drawing>
          </mc:Choice>
          <mc:Fallback>
            <w:pict>
              <v:group id="组合 21" o:spid="_x0000_s1026" o:spt="203" style="position:absolute;left:0pt;margin-left:9pt;margin-top:3.15pt;height:542.5pt;width:322.4pt;z-index:251660288;mso-width-relative:page;mso-height-relative:page;" coordorigin="9480,158015" coordsize="6536,10850" o:gfxdata="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">
                <o:lock v:ext="edit" aspectratio="f"/>
                <v:shape id="直接箭头连接符 75" o:spid="_x0000_s1026" o:spt="32" type="#_x0000_t32" style="position:absolute;left:10473;top:167451;height:17;width:2211;" filled="f" stroked="t" coordsize="21600,21600" o:gfxdata="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KxXjIvQAA&#10;ANoAAAAPAAAAAAAAAAEAIAAAACIAAABkcnMvZG93bnJldi54bWxQSwECFAAUAAAACACHTuJAMy8F&#10;njsAAAA5AAAAEAAAAAAAAAABACAAAAAMAQAAZHJzL3NoYXBleG1sLnhtbFBLBQYAAAAABgAGAFsB&#10;AAC2AwAAAAA=&#10;">
                  <v:fill on="f" focussize="0,0"/>
                  <v:stroke weight="0.5pt" color="#000000" joinstyle="miter" endarrow="open"/>
                  <v:imagedata o:title=""/>
                  <o:lock v:ext="edit" aspectratio="f"/>
                </v:shape>
                <v:roundrect id="圆角矩形 78" o:spid="_x0000_s1026" o:spt="2" style="position:absolute;left:11852;top:158015;height:667;width:3402;v-text-anchor:middle;" fillcolor="#FFFFFF" filled="t" stroked="t" coordsize="21600,21600" arcsize="0.166666666666667" o:gfxdata="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5C/pDbsAAADa&#10;AAAADwAAAAAAAAABACAAAAAiAAAAZHJzL2Rvd25yZXYueG1sUEsBAhQAFAAAAAgAh07iQDMvBZ47&#10;AAAAOQAAABAAAAAAAAAAAQAgAAAACgEAAGRycy9zaGFwZXhtbC54bWxQSwUGAAAAAAYABgBbAQAA&#10;tAMAAAAA&#10;">
                  <v:fill on="t" focussize="0,0"/>
                  <v:stroke weight="1pt" color="#000000" joinstyle="miter"/>
                  <v:imagedata o:title=""/>
                  <o:lock v:ext="edit" aspectratio="f"/>
                  <v:textbox>
                    <w:txbxContent>
                      <w:p>
                        <w:pPr>
                          <w:jc w:val="center"/>
                          <w:rPr>
                            <w:rFonts w:hint="eastAsia"/>
                          </w:rPr>
                        </w:pPr>
                        <w:r>
                          <w:rPr>
                            <w:rFonts w:hint="eastAsia"/>
                          </w:rPr>
                          <w:t>突发公共卫生事件发生后</w:t>
                        </w:r>
                      </w:p>
                    </w:txbxContent>
                  </v:textbox>
                </v:roundrect>
                <v:roundrect id="圆角矩形 79" o:spid="_x0000_s1026" o:spt="2" style="position:absolute;left:11856;top:159046;height:703;width:3402;v-text-anchor:middle;" filled="f" stroked="t" coordsize="21600,21600" arcsize="0.166666666666667" o:gfxdata="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IFUj/m5AAAA2gAA&#10;AA8AAAAAAAAAAQAgAAAAIgAAAGRycy9kb3ducmV2LnhtbFBLAQIUABQAAAAIAIdO4kAzLwWeOwAA&#10;ADkAAAAQAAAAAAAAAAEAIAAAAAgBAABkcnMvc2hhcGV4bWwueG1sUEsFBgAAAAAGAAYAWwEAALID&#10;AAAAAA==&#10;">
                  <v:fill on="f" focussize="0,0"/>
                  <v:stroke weight="1pt" color="#000000" joinstyle="miter"/>
                  <v:imagedata o:title=""/>
                  <o:lock v:ext="edit" aspectratio="f"/>
                  <v:textbox>
                    <w:txbxContent>
                      <w:p>
                        <w:pPr>
                          <w:jc w:val="center"/>
                          <w:rPr>
                            <w:rFonts w:hint="eastAsia"/>
                          </w:rPr>
                        </w:pPr>
                        <w:r>
                          <w:rPr>
                            <w:rFonts w:hint="eastAsia"/>
                          </w:rPr>
                          <w:t>责任报告单位报送事件信息</w:t>
                        </w:r>
                      </w:p>
                    </w:txbxContent>
                  </v:textbox>
                </v:roundrect>
                <v:roundrect id="圆角矩形 80" o:spid="_x0000_s1026" o:spt="2" style="position:absolute;left:11892;top:160141;height:869;width:3402;v-text-anchor:middle;" fillcolor="#FFFFFF" filled="t" stroked="t" coordsize="21600,21600" arcsize="0.166666666666667" o:gfxdata="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r82OS8AAAA&#10;2gAAAA8AAAAAAAAAAQAgAAAAIgAAAGRycy9kb3ducmV2LnhtbFBLAQIUABQAAAAIAIdO4kAzLwWe&#10;OwAAADkAAAAQAAAAAAAAAAEAIAAAAAsBAABkcnMvc2hhcGV4bWwueG1sUEsFBgAAAAAGAAYAWwEA&#10;ALUDAAAAAA==&#10;">
                  <v:fill on="t" focussize="0,0"/>
                  <v:stroke weight="1pt" color="#000000" joinstyle="miter"/>
                  <v:imagedata o:title=""/>
                  <o:lock v:ext="edit" aspectratio="f"/>
                  <v:textbox>
                    <w:txbxContent>
                      <w:p>
                        <w:pPr>
                          <w:jc w:val="center"/>
                          <w:rPr>
                            <w:rFonts w:hint="eastAsia"/>
                          </w:rPr>
                        </w:pPr>
                        <w:r>
                          <w:rPr>
                            <w:rFonts w:hint="eastAsia"/>
                            <w:lang w:eastAsia="zh-CN"/>
                          </w:rPr>
                          <w:t>县</w:t>
                        </w:r>
                        <w:r>
                          <w:rPr>
                            <w:rFonts w:hint="eastAsia"/>
                          </w:rPr>
                          <w:t>指挥部办公室分析研判事件，</w:t>
                        </w:r>
                      </w:p>
                      <w:p>
                        <w:pPr>
                          <w:jc w:val="center"/>
                        </w:pPr>
                        <w:r>
                          <w:rPr>
                            <w:rFonts w:hint="eastAsia"/>
                          </w:rPr>
                          <w:t>启动应急响应</w:t>
                        </w:r>
                      </w:p>
                    </w:txbxContent>
                  </v:textbox>
                </v:roundrect>
                <v:roundrect id="圆角矩形 81" o:spid="_x0000_s1026" o:spt="2" style="position:absolute;left:9480;top:160392;height:624;width:1928;v-text-anchor:middle;" fillcolor="#FFFFFF" filled="t" stroked="t" coordsize="21600,21600" arcsize="0.166666666666667" o:gfxdata="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CItIW8AAAA&#10;2wAAAA8AAAAAAAAAAQAgAAAAIgAAAGRycy9kb3ducmV2LnhtbFBLAQIUABQAAAAIAIdO4kAzLwWe&#10;OwAAADkAAAAQAAAAAAAAAAEAIAAAAAsBAABkcnMvc2hhcGV4bWwueG1sUEsFBgAAAAAGAAYAWwEA&#10;ALUDAAAAAA==&#10;">
                  <v:fill on="t" focussize="0,0"/>
                  <v:stroke weight="1pt" color="#000000" joinstyle="miter"/>
                  <v:imagedata o:title=""/>
                  <o:lock v:ext="edit" aspectratio="f"/>
                  <v:textbox>
                    <w:txbxContent>
                      <w:p>
                        <w:pPr>
                          <w:jc w:val="center"/>
                        </w:pPr>
                        <w:r>
                          <w:rPr>
                            <w:rFonts w:hint="eastAsia"/>
                          </w:rPr>
                          <w:t>三级响应</w:t>
                        </w:r>
                      </w:p>
                    </w:txbxContent>
                  </v:textbox>
                </v:roundrect>
                <v:roundrect id="圆角矩形 88" o:spid="_x0000_s1026" o:spt="2" style="position:absolute;left:9494;top:162437;height:624;width:1939;v-text-anchor:middle;" fillcolor="#FFFFFF" filled="t" stroked="t" coordsize="21600,21600" arcsize="0.166666666666667" o:gfxdata="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E/EER65AAAA2wAA&#10;AA8AAAAAAAAAAQAgAAAAIgAAAGRycy9kb3ducmV2LnhtbFBLAQIUABQAAAAIAIdO4kAzLwWeOwAA&#10;ADkAAAAQAAAAAAAAAAEAIAAAAAgBAABkcnMvc2hhcGV4bWwueG1sUEsFBgAAAAAGAAYAWwEAALID&#10;AAAAAA==&#10;">
                  <v:fill on="t" focussize="0,0"/>
                  <v:stroke weight="1pt" color="#000000" joinstyle="miter"/>
                  <v:imagedata o:title=""/>
                  <o:lock v:ext="edit" aspectratio="f"/>
                  <v:textbox>
                    <w:txbxContent>
                      <w:p>
                        <w:pPr>
                          <w:jc w:val="center"/>
                        </w:pPr>
                        <w:r>
                          <w:rPr>
                            <w:rFonts w:hint="eastAsia"/>
                          </w:rPr>
                          <w:t>采取响应措施</w:t>
                        </w:r>
                      </w:p>
                    </w:txbxContent>
                  </v:textbox>
                </v:roundrect>
                <v:shape id="直接箭头连接符 89" o:spid="_x0000_s1026" o:spt="32" type="#_x0000_t32" style="position:absolute;left:11389;top:160648;flip:x;height:11;width:482;" filled="f" stroked="t" coordsize="21600,21600" o:gfxdata="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Ojaf8ugAAANsA&#10;AAAPAAAAAAAAAAEAIAAAACIAAABkcnMvZG93bnJldi54bWxQSwECFAAUAAAACACHTuJAMy8FnjsA&#10;AAA5AAAAEAAAAAAAAAABACAAAAAJAQAAZHJzL3NoYXBleG1sLnhtbFBLBQYAAAAABgAGAFsBAACz&#10;AwAAAAA=&#10;">
                  <v:fill on="f" focussize="0,0"/>
                  <v:stroke weight="0.5pt" color="#000000" joinstyle="miter" endarrow="open"/>
                  <v:imagedata o:title=""/>
                  <o:lock v:ext="edit" aspectratio="f"/>
                </v:shape>
                <v:shape id="直接箭头连接符 90" o:spid="_x0000_s1026" o:spt="32" type="#_x0000_t32" style="position:absolute;left:10456;top:161025;height:1389;width:0;" filled="f" stroked="t" coordsize="21600,21600" o:gfxdata="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Bec4W5AAAA2wAA&#10;AA8AAAAAAAAAAQAgAAAAIgAAAGRycy9kb3ducmV2LnhtbFBLAQIUABQAAAAIAIdO4kAzLwWeOwAA&#10;ADkAAAAQAAAAAAAAAAEAIAAAAAgBAABkcnMvc2hhcGV4bWwueG1sUEsFBgAAAAAGAAYAWwEAALID&#10;AAAAAA==&#10;">
                  <v:fill on="f" focussize="0,0"/>
                  <v:stroke weight="0.5pt" color="#000000" joinstyle="miter" endarrow="open"/>
                  <v:imagedata o:title=""/>
                  <o:lock v:ext="edit" aspectratio="f"/>
                </v:shape>
                <v:line id="直接连接符 91" o:spid="_x0000_s1026" o:spt="20" style="position:absolute;left:10449;top:163038;height:4422;width:3;" filled="f" stroked="t" coordsize="21600,21600" o:gfxdata="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UgBynvQAA&#10;ANsAAAAPAAAAAAAAAAEAIAAAACIAAABkcnMvZG93bnJldi54bWxQSwECFAAUAAAACACHTuJAMy8F&#10;njsAAAA5AAAAEAAAAAAAAAABACAAAAAMAQAAZHJzL3NoYXBleG1sLnhtbFBLBQYAAAAABgAGAFsB&#10;AAC2AwAAAAA=&#10;">
                  <v:fill on="f" focussize="0,0"/>
                  <v:stroke weight="0.5pt" color="#000000" joinstyle="miter"/>
                  <v:imagedata o:title=""/>
                  <o:lock v:ext="edit" aspectratio="f"/>
                </v:line>
                <v:shape id="上下箭头 92" o:spid="_x0000_s1026" o:spt="70" type="#_x0000_t70" style="position:absolute;left:13505;top:158692;height:340;width:119;v-text-anchor:middle;" filled="f" stroked="t" coordsize="21600,21600" o:gfxdata="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C3iCrsAAADb&#10;AAAADwAAAAAAAAABACAAAAAiAAAAZHJzL2Rvd25yZXYueG1sUEsBAhQAFAAAAAgAh07iQDMvBZ47&#10;AAAAOQAAABAAAAAAAAAAAQAgAAAACgEAAGRycy9zaGFwZXhtbC54bWxQSwUGAAAAAAYABgBbAQAA&#10;tAMAAAAA&#10;" adj="5400,3777">
                  <v:fill on="f" focussize="0,0"/>
                  <v:stroke weight="1pt" color="#000000" joinstyle="miter"/>
                  <v:imagedata o:title=""/>
                  <o:lock v:ext="edit" aspectratio="f"/>
                </v:shape>
                <v:shape id="直接箭头连接符 93" o:spid="_x0000_s1026" o:spt="32" type="#_x0000_t32" style="position:absolute;left:13573;top:159753;height:387;width:1;" filled="f" stroked="t" coordsize="21600,21600" o:gfxdata="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8CnQHbsAAADb&#10;AAAADwAAAAAAAAABACAAAAAiAAAAZHJzL2Rvd25yZXYueG1sUEsBAhQAFAAAAAgAh07iQDMvBZ47&#10;AAAAOQAAABAAAAAAAAAAAQAgAAAACgEAAGRycy9zaGFwZXhtbC54bWxQSwUGAAAAAAYABgBbAQAA&#10;tAMAAAAA&#10;">
                  <v:fill on="f" focussize="0,0"/>
                  <v:stroke weight="0.5pt" color="#000000" joinstyle="miter" endarrow="open"/>
                  <v:imagedata o:title=""/>
                  <o:lock v:ext="edit" aspectratio="f"/>
                </v:shape>
                <v:line id="直接连接符 5" o:spid="_x0000_s1026" o:spt="20" style="position:absolute;left:15466;top:167194;flip:y;height:10;width:550;" filled="f" stroked="t" coordsize="21600,21600" o:gfxdata="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oROKE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接连接符 3" o:spid="_x0000_s1026" o:spt="20" style="position:absolute;left:15407;top:162658;flip:x;height:4548;width:1;" filled="f" stroked="t" coordsize="21600,21600" o:gfxdata="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dh7LiugAAANsA&#10;AAAPAAAAAAAAAAEAIAAAACIAAABkcnMvZG93bnJldi54bWxQSwECFAAUAAAACACHTuJAMy8FnjsA&#10;AAA5AAAAEAAAAAAAAAABACAAAAAJAQAAZHJzL3NoYXBleG1sLnhtbFBLBQYAAAAABgAGAFsBAACz&#10;AwAAAAA=&#10;">
                  <v:fill on="f" focussize="0,0"/>
                  <v:stroke color="#000000" joinstyle="round"/>
                  <v:imagedata o:title=""/>
                  <o:lock v:ext="edit" aspectratio="f"/>
                </v:line>
                <v:shape id="直接箭头连接符 76" o:spid="_x0000_s1026" o:spt="32" type="#_x0000_t32" style="position:absolute;left:14601;top:164962;flip:y;height:8;width:746;" filled="f" stroked="t" coordsize="21600,21600" o:gfxdata="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epl674A&#10;AADbAAAADwAAAAAAAAABACAAAAAiAAAAZHJzL2Rvd25yZXYueG1sUEsBAhQAFAAAAAgAh07iQDMv&#10;BZ47AAAAOQAAABAAAAAAAAAAAQAgAAAADQEAAGRycy9zaGFwZXhtbC54bWxQSwUGAAAAAAYABgBb&#10;AQAAtwMAAAAA&#10;">
                  <v:fill on="f" focussize="0,0"/>
                  <v:stroke weight="0.5pt" color="#000000" joinstyle="miter" endarrow="open"/>
                  <v:imagedata o:title=""/>
                  <o:lock v:ext="edit" aspectratio="f"/>
                </v:shape>
                <v:shape id="直接箭头连接符 77" o:spid="_x0000_s1026" o:spt="32" type="#_x0000_t32" style="position:absolute;left:13601;top:162287;height:385;width:0;" filled="f" stroked="t" coordsize="21600,21600" o:gfxdata="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Ep4p+vQAA&#10;ANsAAAAPAAAAAAAAAAEAIAAAACIAAABkcnMvZG93bnJldi54bWxQSwECFAAUAAAACACHTuJAMy8F&#10;njsAAAA5AAAAEAAAAAAAAAABACAAAAAMAQAAZHJzL3NoYXBleG1sLnhtbFBLBQYAAAAABgAGAFsB&#10;AAC2AwAAAAA=&#10;">
                  <v:fill on="f" focussize="0,0"/>
                  <v:stroke weight="0.5pt" color="#000000" joinstyle="miter" endarrow="open"/>
                  <v:imagedata o:title=""/>
                  <o:lock v:ext="edit" aspectratio="f"/>
                </v:shape>
                <v:roundrect id="圆角矩形 82" o:spid="_x0000_s1026" o:spt="2" style="position:absolute;left:12635;top:162665;height:624;width:1928;v-text-anchor:middle;" fillcolor="#FFFFFF" filled="t" stroked="t" coordsize="21600,21600" arcsize="0.166666666666667" o:gfxdata="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vvdpK8AAAA&#10;2wAAAA8AAAAAAAAAAQAgAAAAIgAAAGRycy9kb3ducmV2LnhtbFBLAQIUABQAAAAIAIdO4kAzLwWe&#10;OwAAADkAAAAQAAAAAAAAAAEAIAAAAAsBAABkcnMvc2hhcGV4bWwueG1sUEsFBgAAAAAGAAYAWwEA&#10;ALUDAAAAAA==&#10;">
                  <v:fill on="t" focussize="0,0"/>
                  <v:stroke weight="1pt" color="#000000" joinstyle="miter"/>
                  <v:imagedata o:title=""/>
                  <o:lock v:ext="edit" aspectratio="f"/>
                  <v:textbox>
                    <w:txbxContent>
                      <w:p>
                        <w:pPr>
                          <w:jc w:val="center"/>
                        </w:pPr>
                        <w:r>
                          <w:rPr>
                            <w:rFonts w:hint="eastAsia"/>
                          </w:rPr>
                          <w:t>二级响应</w:t>
                        </w:r>
                      </w:p>
                    </w:txbxContent>
                  </v:textbox>
                </v:roundrect>
                <v:roundrect id="圆角矩形 83" o:spid="_x0000_s1026" o:spt="2" style="position:absolute;left:12619;top:163642;height:627;width:1928;v-text-anchor:middle;" fillcolor="#FFFFFF" filled="t" stroked="t" coordsize="21600,21600" arcsize="0.166666666666667" o:gfxdata="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QG7ua8AAAA&#10;2wAAAA8AAAAAAAAAAQAgAAAAIgAAAGRycy9kb3ducmV2LnhtbFBLAQIUABQAAAAIAIdO4kAzLwWe&#10;OwAAADkAAAAQAAAAAAAAAAEAIAAAAAsBAABkcnMvc2hhcGV4bWwueG1sUEsFBgAAAAAGAAYAWwEA&#10;ALUDAAAAAA==&#10;">
                  <v:fill on="t" focussize="0,0"/>
                  <v:stroke weight="1pt" color="#000000" joinstyle="miter"/>
                  <v:imagedata o:title=""/>
                  <o:lock v:ext="edit" aspectratio="f"/>
                  <v:textbox>
                    <w:txbxContent>
                      <w:p>
                        <w:pPr>
                          <w:jc w:val="center"/>
                        </w:pPr>
                        <w:r>
                          <w:rPr>
                            <w:rFonts w:hint="eastAsia"/>
                          </w:rPr>
                          <w:t>一级响应</w:t>
                        </w:r>
                      </w:p>
                    </w:txbxContent>
                  </v:textbox>
                </v:roundrect>
                <v:roundrect id="圆角矩形 84" o:spid="_x0000_s1026" o:spt="2" style="position:absolute;left:12652;top:164550;height:840;width:1928;v-text-anchor:middle;" fillcolor="#FFFFFF" filled="t" stroked="t" coordsize="21600,21600" arcsize="0.166666666666667" o:gfxdata="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0pLfbsAAADb&#10;AAAADwAAAAAAAAABACAAAAAiAAAAZHJzL2Rvd25yZXYueG1sUEsBAhQAFAAAAAgAh07iQDMvBZ47&#10;AAAAOQAAABAAAAAAAAAAAQAgAAAACgEAAGRycy9zaGFwZXhtbC54bWxQSwUGAAAAAAYABgBbAQAA&#10;tAMAAAAA&#10;">
                  <v:fill on="t" focussize="0,0"/>
                  <v:stroke weight="1pt" color="#000000" joinstyle="miter"/>
                  <v:imagedata o:title=""/>
                  <o:lock v:ext="edit" aspectratio="f"/>
                  <v:textbox>
                    <w:txbxContent>
                      <w:p>
                        <w:pPr>
                          <w:jc w:val="center"/>
                        </w:pPr>
                        <w:r>
                          <w:rPr>
                            <w:rFonts w:hint="eastAsia"/>
                          </w:rPr>
                          <w:t>指挥协调</w:t>
                        </w:r>
                      </w:p>
                      <w:p>
                        <w:pPr>
                          <w:jc w:val="center"/>
                        </w:pPr>
                        <w:r>
                          <w:rPr>
                            <w:rFonts w:hint="eastAsia"/>
                          </w:rPr>
                          <w:t>应急处置</w:t>
                        </w:r>
                      </w:p>
                    </w:txbxContent>
                  </v:textbox>
                </v:roundrect>
                <v:roundrect id="圆角矩形 85" o:spid="_x0000_s1026" o:spt="2" style="position:absolute;left:12670;top:165882;height:839;width:1928;v-text-anchor:middle;" fillcolor="#FFFFFF" filled="t" stroked="t" coordsize="21600,21600" arcsize="0.166666666666667" o:gfxdata="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5jVCrsAAADb&#10;AAAADwAAAAAAAAABACAAAAAiAAAAZHJzL2Rvd25yZXYueG1sUEsBAhQAFAAAAAgAh07iQDMvBZ47&#10;AAAAOQAAABAAAAAAAAAAAQAgAAAACgEAAGRycy9zaGFwZXhtbC54bWxQSwUGAAAAAAYABgBbAQAA&#10;tAMAAAAA&#10;">
                  <v:fill on="t" focussize="0,0"/>
                  <v:stroke weight="1pt" color="#000000" joinstyle="miter"/>
                  <v:imagedata o:title=""/>
                  <o:lock v:ext="edit" aspectratio="f"/>
                  <v:textbox>
                    <w:txbxContent>
                      <w:p>
                        <w:pPr>
                          <w:jc w:val="center"/>
                        </w:pPr>
                        <w:r>
                          <w:rPr>
                            <w:rFonts w:hint="eastAsia"/>
                          </w:rPr>
                          <w:t>符合应急响应</w:t>
                        </w:r>
                      </w:p>
                      <w:p>
                        <w:pPr>
                          <w:jc w:val="center"/>
                        </w:pPr>
                        <w:r>
                          <w:rPr>
                            <w:rFonts w:hint="eastAsia"/>
                          </w:rPr>
                          <w:t>结束条件</w:t>
                        </w:r>
                      </w:p>
                    </w:txbxContent>
                  </v:textbox>
                </v:roundrect>
                <v:roundrect id="圆角矩形 86" o:spid="_x0000_s1026" o:spt="2" style="position:absolute;left:12686;top:167143;height:624;width:1928;v-text-anchor:middle;" fillcolor="#FFFFFF" filled="t" stroked="t" coordsize="21600,21600" arcsize="0.166666666666667" o:gfxdata="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5NRwkbsAAADb&#10;AAAADwAAAAAAAAABACAAAAAiAAAAZHJzL2Rvd25yZXYueG1sUEsBAhQAFAAAAAgAh07iQDMvBZ47&#10;AAAAOQAAABAAAAAAAAAAAQAgAAAACgEAAGRycy9zaGFwZXhtbC54bWxQSwUGAAAAAAYABgBbAQAA&#10;tAMAAAAA&#10;">
                  <v:fill on="t" focussize="0,0"/>
                  <v:stroke weight="1pt" color="#000000" joinstyle="miter"/>
                  <v:imagedata o:title=""/>
                  <o:lock v:ext="edit" aspectratio="f"/>
                  <v:textbox>
                    <w:txbxContent>
                      <w:p>
                        <w:pPr>
                          <w:jc w:val="center"/>
                        </w:pPr>
                        <w:r>
                          <w:rPr>
                            <w:rFonts w:hint="eastAsia"/>
                          </w:rPr>
                          <w:t>结束响应</w:t>
                        </w:r>
                      </w:p>
                    </w:txbxContent>
                  </v:textbox>
                </v:roundrect>
                <v:roundrect id="圆角矩形 87" o:spid="_x0000_s1026" o:spt="2" style="position:absolute;left:12732;top:168241;height:624;width:1928;v-text-anchor:middle;" fillcolor="#FFFFFF" filled="t" stroked="t" coordsize="21600,21600" arcsize="0.166666666666667" o:gfxdata="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lUvk47gAAADbAAAA&#10;DwAAAAAAAAABACAAAAAiAAAAZHJzL2Rvd25yZXYueG1sUEsBAhQAFAAAAAgAh07iQDMvBZ47AAAA&#10;OQAAABAAAAAAAAAAAQAgAAAABwEAAGRycy9zaGFwZXhtbC54bWxQSwUGAAAAAAYABgBbAQAAsQMA&#10;AAAA&#10;">
                  <v:fill on="t" focussize="0,0"/>
                  <v:stroke weight="1pt" color="#000000" joinstyle="miter"/>
                  <v:imagedata o:title=""/>
                  <o:lock v:ext="edit" aspectratio="f"/>
                  <v:textbox>
                    <w:txbxContent>
                      <w:p>
                        <w:pPr>
                          <w:jc w:val="center"/>
                        </w:pPr>
                        <w:r>
                          <w:rPr>
                            <w:rFonts w:hint="eastAsia"/>
                          </w:rPr>
                          <w:t>后期处置</w:t>
                        </w:r>
                      </w:p>
                    </w:txbxContent>
                  </v:textbox>
                </v:roundrect>
                <v:shape id="直接箭头连接符 94" o:spid="_x0000_s1026" o:spt="32" type="#_x0000_t32" style="position:absolute;left:13583;top:161006;height:423;width:9;" filled="f" stroked="t" coordsize="21600,21600" o:gfxdata="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gMYD74A&#10;AADbAAAADwAAAAAAAAABACAAAAAiAAAAZHJzL2Rvd25yZXYueG1sUEsBAhQAFAAAAAgAh07iQDMv&#10;BZ47AAAAOQAAABAAAAAAAAAAAQAgAAAADQEAAGRycy9zaGFwZXhtbC54bWxQSwUGAAAAAAYABgBb&#10;AQAAtwMAAAAA&#10;">
                  <v:fill on="f" focussize="0,0"/>
                  <v:stroke weight="0.5pt" color="#000000" joinstyle="miter" endarrow="open"/>
                  <v:imagedata o:title=""/>
                  <o:lock v:ext="edit" aspectratio="f"/>
                </v:shape>
                <v:group id="组合 18" o:spid="_x0000_s1026" o:spt="203" style="position:absolute;left:14559;top:163003;height:915;width:233;" coordorigin="11554,317300" coordsize="233,915" o:gfxdata="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I4XkvwAAANsAAAAPAAAAAAAAAAEAIAAAACIAAABkcnMvZG93bnJldi54&#10;bWxQSwECFAAUAAAACACHTuJAMy8FnjsAAAA5AAAAFQAAAAAAAAABACAAAAAOAQAAZHJzL2dyb3Vw&#10;c2hhcGV4bWwueG1sUEsFBgAAAAAGAAYAYAEAAMsDAAAAAA==&#10;">
                  <o:lock v:ext="edit" aspectratio="f"/>
                  <v:shape id="肘形连接符 95" o:spid="_x0000_s1026" o:spt="33" type="#_x0000_t33" style="position:absolute;left:11554;top:317300;height:908;width:233;" filled="f" stroked="t" coordsize="21600,21600" o:gfxdata="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ijy5EvQAA&#10;ANsAAAAPAAAAAAAAAAEAIAAAACIAAABkcnMvZG93bnJldi54bWxQSwECFAAUAAAACACHTuJAMy8F&#10;njsAAAA5AAAAEAAAAAAAAAABACAAAAAMAQAAZHJzL3NoYXBleG1sLnhtbFBLBQYAAAAABgAGAFsB&#10;AAC2AwAAAAA=&#10;">
                    <v:fill on="f" focussize="0,0"/>
                    <v:stroke weight="1pt" color="#000000" joinstyle="miter"/>
                    <v:imagedata o:title=""/>
                    <o:lock v:ext="edit" aspectratio="f"/>
                  </v:shape>
                  <v:line id="直接连接符 96" o:spid="_x0000_s1026" o:spt="20" style="position:absolute;left:11569;top:318205;height:11;width:218;" filled="f" stroked="t" coordsize="21600,21600" o:gfxdata="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XRJAivQAA&#10;ANsAAAAPAAAAAAAAAAEAIAAAACIAAABkcnMvZG93bnJldi54bWxQSwECFAAUAAAACACHTuJAMy8F&#10;njsAAAA5AAAAEAAAAAAAAAABACAAAAAMAQAAZHJzL3NoYXBleG1sLnhtbFBLBQYAAAAABgAGAFsB&#10;AAC2AwAAAAA=&#10;">
                    <v:fill on="f" focussize="0,0"/>
                    <v:stroke weight="0.5pt" color="#000000" joinstyle="miter"/>
                    <v:imagedata o:title=""/>
                    <o:lock v:ext="edit" aspectratio="f"/>
                  </v:line>
                </v:group>
                <v:shape id="直接箭头连接符 99" o:spid="_x0000_s1026" o:spt="32" type="#_x0000_t32" style="position:absolute;left:13607;top:164248;height:302;width:1;" filled="f" stroked="t" coordsize="21600,21600" o:gfxdata="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PtXJi8AAAA&#10;2wAAAA8AAAAAAAAAAQAgAAAAIgAAAGRycy9kb3ducmV2LnhtbFBLAQIUABQAAAAIAIdO4kAzLwWe&#10;OwAAADkAAAAQAAAAAAAAAAEAIAAAAAsBAABkcnMvc2hhcGV4bWwueG1sUEsFBgAAAAAGAAYAWwEA&#10;ALUDAAAAAA==&#10;">
                  <v:fill on="f" focussize="0,0"/>
                  <v:stroke weight="0.5pt" color="#000000" joinstyle="miter" endarrow="open"/>
                  <v:imagedata o:title=""/>
                  <o:lock v:ext="edit" aspectratio="f"/>
                </v:shape>
                <v:shape id="直接箭头连接符 100" o:spid="_x0000_s1026" o:spt="32" type="#_x0000_t32" style="position:absolute;left:13642;top:165384;flip:x;height:454;width:7;" filled="f" stroked="t" coordsize="21600,21600" o:gfxdata="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Zu1Dr4A&#10;AADbAAAADwAAAAAAAAABACAAAAAiAAAAZHJzL2Rvd25yZXYueG1sUEsBAhQAFAAAAAgAh07iQDMv&#10;BZ47AAAAOQAAABAAAAAAAAAAAQAgAAAADQEAAGRycy9zaGFwZXhtbC54bWxQSwUGAAAAAAYABgBb&#10;AQAAtwMAAAAA&#10;">
                  <v:fill on="f" focussize="0,0"/>
                  <v:stroke weight="0.5pt" color="#000000" joinstyle="miter" endarrow="open"/>
                  <v:imagedata o:title=""/>
                  <o:lock v:ext="edit" aspectratio="f"/>
                </v:shape>
                <v:group id="组合 19" o:spid="_x0000_s1026" o:spt="203" style="position:absolute;left:12374;top:163011;height:953;width:261;" coordorigin="9369,317266" coordsize="261,953" o:gfxdata="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uVCZ8vwAAANsAAAAPAAAAAAAAAAEAIAAAACIAAABkcnMvZG93bnJldi54&#10;bWxQSwECFAAUAAAACACHTuJAMy8FnjsAAAA5AAAAFQAAAAAAAAABACAAAAAOAQAAZHJzL2dyb3Vw&#10;c2hhcGV4bWwueG1sUEsFBgAAAAAGAAYAYAEAAMsDAAAAAA==&#10;">
                  <o:lock v:ext="edit" aspectratio="f"/>
                  <v:line id="直接连接符 97" o:spid="_x0000_s1026" o:spt="20" style="position:absolute;left:9369;top:317266;flip:x y;height:4;width:231;" filled="f" stroked="t" coordsize="21600,21600" o:gfxdata="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t5fAQvQAA&#10;ANsAAAAPAAAAAAAAAAEAIAAAACIAAABkcnMvZG93bnJldi54bWxQSwECFAAUAAAACACHTuJAMy8F&#10;njsAAAA5AAAAEAAAAAAAAAABACAAAAAMAQAAZHJzL3NoYXBleG1sLnhtbFBLBQYAAAAABgAGAFsB&#10;AAC2AwAAAAA=&#10;">
                    <v:fill on="f" focussize="0,0"/>
                    <v:stroke weight="0.5pt" color="#000000" joinstyle="miter"/>
                    <v:imagedata o:title=""/>
                    <o:lock v:ext="edit" aspectratio="f"/>
                  </v:line>
                  <v:shape id="肘形连接符 98" o:spid="_x0000_s1026" o:spt="33" type="#_x0000_t33" style="position:absolute;left:9384;top:317275;height:945;width:246;rotation:11796480f;" filled="f" stroked="t" coordsize="21600,21600" o:gfxdata="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1OF++/&#10;AAAA2wAAAA8AAAAAAAAAAQAgAAAAIgAAAGRycy9kb3ducmV2LnhtbFBLAQIUABQAAAAIAIdO4kAz&#10;LwWeOwAAADkAAAAQAAAAAAAAAAEAIAAAAA4BAABkcnMvc2hhcGV4bWwueG1sUEsFBgAAAAAGAAYA&#10;WwEAALgDAAAAAA==&#10;">
                    <v:fill on="f" focussize="0,0"/>
                    <v:stroke weight="0.5pt" color="#000000" joinstyle="miter"/>
                    <v:imagedata o:title=""/>
                    <o:lock v:ext="edit" aspectratio="f"/>
                  </v:shape>
                </v:group>
                <v:shape id="直接箭头连接符 102" o:spid="_x0000_s1026" o:spt="32" type="#_x0000_t32" style="position:absolute;left:13672;top:166710;height:454;width:0;" filled="f" stroked="t" coordsize="21600,21600" o:gfxdata="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9Sc7ptwAAANsAAAAP&#10;AAAAAAAAAAEAIAAAACIAAABkcnMvZG93bnJldi54bWxQSwECFAAUAAAACACHTuJAMy8FnjsAAAA5&#10;AAAAEAAAAAAAAAABACAAAAAGAQAAZHJzL3NoYXBleG1sLnhtbFBLBQYAAAAABgAGAFsBAACwAwAA&#10;AAA=&#10;">
                  <v:fill on="f" focussize="0,0"/>
                  <v:stroke weight="0.5pt" color="#000000" joinstyle="miter" endarrow="open"/>
                  <v:imagedata o:title=""/>
                  <o:lock v:ext="edit" aspectratio="f"/>
                </v:shape>
                <v:shape id="上下箭头 107" o:spid="_x0000_s1026" o:spt="70" type="#_x0000_t70" style="position:absolute;left:13532;top:163284;height:353;width:119;v-text-anchor:middle;" filled="f" stroked="t" coordsize="21600,21600" o:gfxdata="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X7m28AAAA&#10;2wAAAA8AAAAAAAAAAQAgAAAAIgAAAGRycy9kb3ducmV2LnhtbFBLAQIUABQAAAAIAIdO4kAzLwWe&#10;OwAAADkAAAAQAAAAAAAAAAEAIAAAAAsBAABkcnMvc2hhcGV4bWwueG1sUEsFBgAAAAAGAAYAWwEA&#10;ALUDAAAAAA==&#10;" adj="5400,3639">
                  <v:fill on="f" focussize="0,0"/>
                  <v:stroke weight="1pt" color="#000000" joinstyle="miter"/>
                  <v:imagedata o:title=""/>
                  <o:lock v:ext="edit" aspectratio="f"/>
                </v:shape>
                <v:roundrect id="圆角矩形 112" o:spid="_x0000_s1026" o:spt="2" style="position:absolute;left:12441;top:161444;height:809;width:2357;v-text-anchor:middle;" fillcolor="#FFFFFF" filled="t" stroked="t" coordsize="21600,21600" arcsize="0.166666666666667" o:gfxdata="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biDUW5AAAA2wAA&#10;AA8AAAAAAAAAAQAgAAAAIgAAAGRycy9kb3ducmV2LnhtbFBLAQIUABQAAAAIAIdO4kAzLwWeOwAA&#10;ADkAAAAQAAAAAAAAAAEAIAAAAAgBAABkcnMvc2hhcGV4bWwueG1sUEsFBgAAAAAGAAYAWwEAALID&#10;AAAAAA==&#10;">
                  <v:fill on="t" focussize="0,0"/>
                  <v:stroke weight="1pt" color="#000000" joinstyle="miter"/>
                  <v:imagedata o:title=""/>
                  <o:lock v:ext="edit" aspectratio="f"/>
                  <v:textbox>
                    <w:txbxContent>
                      <w:p>
                        <w:pPr>
                          <w:spacing w:line="280" w:lineRule="exact"/>
                          <w:jc w:val="center"/>
                        </w:pPr>
                        <w:r>
                          <w:rPr>
                            <w:rFonts w:hint="eastAsia"/>
                          </w:rPr>
                          <w:t>上报</w:t>
                        </w:r>
                        <w:r>
                          <w:rPr>
                            <w:rFonts w:hint="eastAsia"/>
                            <w:lang w:eastAsia="zh-CN"/>
                          </w:rPr>
                          <w:t>县</w:t>
                        </w:r>
                        <w:r>
                          <w:rPr>
                            <w:rFonts w:hint="eastAsia"/>
                          </w:rPr>
                          <w:t>指挥部</w:t>
                        </w:r>
                      </w:p>
                      <w:p>
                        <w:pPr>
                          <w:spacing w:line="280" w:lineRule="exact"/>
                          <w:jc w:val="center"/>
                        </w:pPr>
                        <w:r>
                          <w:rPr>
                            <w:rFonts w:hint="eastAsia"/>
                          </w:rPr>
                          <w:t>启动应急响应</w:t>
                        </w:r>
                      </w:p>
                    </w:txbxContent>
                  </v:textbox>
                </v:roundrect>
                <v:line id="直接连接符 11" o:spid="_x0000_s1026" o:spt="20" style="position:absolute;left:15410;top:162688;flip:y;height:10;width:549;" filled="f" stroked="t" coordsize="21600,21600" o:gfxdata="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g/Wqt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shape id="直接箭头连接符 20" o:spid="_x0000_s1026" o:spt="32" type="#_x0000_t32" style="position:absolute;left:13695;top:167783;height:454;width:0;" filled="f" stroked="t" coordsize="21600,21600" o:gfxdata="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Iip6PugAAANsA&#10;AAAPAAAAAAAAAAEAIAAAACIAAABkcnMvZG93bnJldi54bWxQSwECFAAUAAAACACHTuJAMy8FnjsA&#10;AAA5AAAAEAAAAAAAAAABACAAAAAJAQAAZHJzL3NoYXBleG1sLnhtbFBLBQYAAAAABgAGAFsBAACz&#10;AwAAAAA=&#10;">
                  <v:fill on="f" focussize="0,0"/>
                  <v:stroke weight="0.5pt" color="#000000" joinstyle="miter" endarrow="open"/>
                  <v:imagedata o:title=""/>
                  <o:lock v:ext="edit" aspectratio="f"/>
                </v:shape>
              </v:group>
            </w:pict>
          </mc:Fallback>
        </mc:AlternateContent>
      </w:r>
    </w:p>
    <w:p>
      <w:pPr>
        <w:rPr>
          <w:rFonts w:hint="eastAsia" w:ascii="方正小标宋简体" w:hAnsi="方正小标宋简体" w:eastAsia="方正小标宋简体" w:cs="方正小标宋简体"/>
          <w:color w:val="auto"/>
          <w:sz w:val="44"/>
          <w:szCs w:val="44"/>
        </w:rPr>
      </w:pPr>
      <w:bookmarkStart w:id="0" w:name="_GoBack"/>
      <w:bookmarkEnd w:id="0"/>
    </w:p>
    <w:p>
      <w:pPr>
        <w:rPr>
          <w:rFonts w:hint="eastAsia" w:ascii="方正小标宋简体" w:hAnsi="方正小标宋简体" w:eastAsia="方正小标宋简体" w:cs="方正小标宋简体"/>
          <w:color w:val="auto"/>
          <w:sz w:val="44"/>
          <w:szCs w:val="44"/>
        </w:rPr>
      </w:pPr>
    </w:p>
    <w:p>
      <w:pPr>
        <w:rPr>
          <w:rFonts w:hint="eastAsia" w:ascii="方正小标宋简体" w:hAnsi="方正小标宋简体" w:eastAsia="方正小标宋简体" w:cs="方正小标宋简体"/>
          <w:color w:val="auto"/>
          <w:sz w:val="44"/>
          <w:szCs w:val="44"/>
        </w:rPr>
      </w:pPr>
    </w:p>
    <w:tbl>
      <w:tblPr>
        <w:tblStyle w:val="8"/>
        <w:tblpPr w:leftFromText="180" w:rightFromText="180" w:vertAnchor="text" w:horzAnchor="page" w:tblpX="8413" w:tblpY="696"/>
        <w:tblOverlap w:val="never"/>
        <w:tblW w:w="18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1820" w:type="dxa"/>
            <w:vAlign w:val="top"/>
          </w:tcPr>
          <w:p>
            <w:pPr>
              <w:keepNext w:val="0"/>
              <w:keepLines w:val="0"/>
              <w:pageBreakBefore w:val="0"/>
              <w:widowControl w:val="0"/>
              <w:kinsoku/>
              <w:wordWrap/>
              <w:overflowPunct/>
              <w:topLinePunct w:val="0"/>
              <w:autoSpaceDE/>
              <w:autoSpaceDN/>
              <w:bidi w:val="0"/>
              <w:adjustRightInd/>
              <w:snapToGrid/>
              <w:spacing w:before="160" w:beforeLines="50" w:after="160" w:afterLines="50"/>
              <w:jc w:val="center"/>
              <w:textAlignment w:val="auto"/>
              <w:rPr>
                <w:rFonts w:hint="eastAsia" w:ascii="方正小标宋简体" w:hAnsi="方正小标宋简体" w:eastAsia="方正小标宋简体" w:cs="方正小标宋简体"/>
                <w:color w:val="auto"/>
                <w:sz w:val="44"/>
                <w:szCs w:val="44"/>
                <w:vertAlign w:val="baseline"/>
              </w:rPr>
            </w:pPr>
            <w:r>
              <w:rPr>
                <w:rFonts w:hint="eastAsia"/>
                <w:color w:val="auto"/>
              </w:rPr>
              <w:t>综合组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1820" w:type="dxa"/>
            <w:vAlign w:val="top"/>
          </w:tcPr>
          <w:p>
            <w:pPr>
              <w:keepNext w:val="0"/>
              <w:keepLines w:val="0"/>
              <w:pageBreakBefore w:val="0"/>
              <w:widowControl w:val="0"/>
              <w:kinsoku/>
              <w:wordWrap/>
              <w:overflowPunct/>
              <w:topLinePunct w:val="0"/>
              <w:autoSpaceDE/>
              <w:autoSpaceDN/>
              <w:bidi w:val="0"/>
              <w:adjustRightInd/>
              <w:snapToGrid/>
              <w:spacing w:before="160" w:beforeLines="50" w:after="160" w:afterLines="50"/>
              <w:jc w:val="center"/>
              <w:textAlignment w:val="auto"/>
              <w:rPr>
                <w:rFonts w:hint="eastAsia" w:ascii="方正小标宋简体" w:hAnsi="方正小标宋简体" w:eastAsia="方正小标宋简体" w:cs="方正小标宋简体"/>
                <w:color w:val="auto"/>
                <w:sz w:val="44"/>
                <w:szCs w:val="44"/>
                <w:vertAlign w:val="baseline"/>
              </w:rPr>
            </w:pPr>
            <w:r>
              <w:rPr>
                <w:rFonts w:hint="eastAsia"/>
                <w:color w:val="auto"/>
              </w:rPr>
              <w:t>防控救治组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1820" w:type="dxa"/>
            <w:vAlign w:val="top"/>
          </w:tcPr>
          <w:p>
            <w:pPr>
              <w:keepNext w:val="0"/>
              <w:keepLines w:val="0"/>
              <w:pageBreakBefore w:val="0"/>
              <w:widowControl w:val="0"/>
              <w:kinsoku/>
              <w:wordWrap/>
              <w:overflowPunct/>
              <w:topLinePunct w:val="0"/>
              <w:autoSpaceDE/>
              <w:autoSpaceDN/>
              <w:bidi w:val="0"/>
              <w:adjustRightInd/>
              <w:snapToGrid/>
              <w:spacing w:before="160" w:beforeLines="50" w:after="160" w:afterLines="50"/>
              <w:jc w:val="center"/>
              <w:textAlignment w:val="auto"/>
              <w:rPr>
                <w:rFonts w:hint="eastAsia" w:ascii="方正小标宋简体" w:hAnsi="方正小标宋简体" w:eastAsia="方正小标宋简体" w:cs="方正小标宋简体"/>
                <w:color w:val="auto"/>
                <w:sz w:val="44"/>
                <w:szCs w:val="44"/>
                <w:vertAlign w:val="baseline"/>
              </w:rPr>
            </w:pPr>
            <w:r>
              <w:rPr>
                <w:rFonts w:hint="eastAsia"/>
                <w:color w:val="auto"/>
              </w:rPr>
              <w:t>交通场站组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1820" w:type="dxa"/>
            <w:vAlign w:val="top"/>
          </w:tcPr>
          <w:p>
            <w:pPr>
              <w:keepNext w:val="0"/>
              <w:keepLines w:val="0"/>
              <w:pageBreakBefore w:val="0"/>
              <w:widowControl w:val="0"/>
              <w:kinsoku/>
              <w:wordWrap/>
              <w:overflowPunct/>
              <w:topLinePunct w:val="0"/>
              <w:autoSpaceDE/>
              <w:autoSpaceDN/>
              <w:bidi w:val="0"/>
              <w:adjustRightInd/>
              <w:snapToGrid/>
              <w:spacing w:before="160" w:beforeLines="50" w:after="160" w:afterLines="50"/>
              <w:jc w:val="center"/>
              <w:textAlignment w:val="auto"/>
              <w:rPr>
                <w:rFonts w:hint="eastAsia" w:ascii="方正小标宋简体" w:hAnsi="方正小标宋简体" w:eastAsia="方正小标宋简体" w:cs="方正小标宋简体"/>
                <w:color w:val="auto"/>
                <w:sz w:val="44"/>
                <w:szCs w:val="44"/>
                <w:vertAlign w:val="baseline"/>
              </w:rPr>
            </w:pPr>
            <w:r>
              <w:rPr>
                <w:rFonts w:hint="eastAsia"/>
                <w:color w:val="auto"/>
              </w:rPr>
              <w:t>市场监管组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1820" w:type="dxa"/>
            <w:vAlign w:val="top"/>
          </w:tcPr>
          <w:p>
            <w:pPr>
              <w:keepNext w:val="0"/>
              <w:keepLines w:val="0"/>
              <w:pageBreakBefore w:val="0"/>
              <w:widowControl w:val="0"/>
              <w:kinsoku/>
              <w:wordWrap/>
              <w:overflowPunct/>
              <w:topLinePunct w:val="0"/>
              <w:autoSpaceDE/>
              <w:autoSpaceDN/>
              <w:bidi w:val="0"/>
              <w:adjustRightInd/>
              <w:snapToGrid/>
              <w:spacing w:before="160" w:beforeLines="50" w:after="160" w:afterLines="50"/>
              <w:jc w:val="center"/>
              <w:textAlignment w:val="auto"/>
              <w:rPr>
                <w:rFonts w:hint="eastAsia" w:ascii="方正小标宋简体" w:hAnsi="方正小标宋简体" w:eastAsia="方正小标宋简体" w:cs="方正小标宋简体"/>
                <w:color w:val="auto"/>
                <w:sz w:val="44"/>
                <w:szCs w:val="44"/>
                <w:vertAlign w:val="baseline"/>
              </w:rPr>
            </w:pPr>
            <w:r>
              <w:rPr>
                <w:rFonts w:hint="eastAsia"/>
                <w:color w:val="auto"/>
              </w:rPr>
              <w:t>医疗物资保障组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820" w:type="dxa"/>
            <w:vAlign w:val="top"/>
          </w:tcPr>
          <w:p>
            <w:pPr>
              <w:keepNext w:val="0"/>
              <w:keepLines w:val="0"/>
              <w:pageBreakBefore w:val="0"/>
              <w:widowControl w:val="0"/>
              <w:kinsoku/>
              <w:wordWrap/>
              <w:overflowPunct/>
              <w:topLinePunct w:val="0"/>
              <w:autoSpaceDE/>
              <w:autoSpaceDN/>
              <w:bidi w:val="0"/>
              <w:adjustRightInd/>
              <w:snapToGrid/>
              <w:spacing w:before="160" w:beforeLines="50" w:after="160" w:afterLines="50"/>
              <w:jc w:val="center"/>
              <w:textAlignment w:val="auto"/>
              <w:rPr>
                <w:rFonts w:hint="eastAsia" w:ascii="方正小标宋简体" w:hAnsi="方正小标宋简体" w:eastAsia="方正小标宋简体" w:cs="方正小标宋简体"/>
                <w:color w:val="auto"/>
                <w:sz w:val="44"/>
                <w:szCs w:val="44"/>
                <w:vertAlign w:val="baseline"/>
              </w:rPr>
            </w:pPr>
            <w:r>
              <w:rPr>
                <w:rFonts w:hint="eastAsia"/>
                <w:color w:val="auto"/>
              </w:rPr>
              <w:t>生活物资保障组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1820" w:type="dxa"/>
            <w:vAlign w:val="top"/>
          </w:tcPr>
          <w:p>
            <w:pPr>
              <w:keepNext w:val="0"/>
              <w:keepLines w:val="0"/>
              <w:pageBreakBefore w:val="0"/>
              <w:widowControl w:val="0"/>
              <w:kinsoku/>
              <w:wordWrap/>
              <w:overflowPunct/>
              <w:topLinePunct w:val="0"/>
              <w:autoSpaceDE/>
              <w:autoSpaceDN/>
              <w:bidi w:val="0"/>
              <w:adjustRightInd/>
              <w:snapToGrid/>
              <w:spacing w:before="160" w:beforeLines="50" w:after="160" w:afterLines="50"/>
              <w:jc w:val="center"/>
              <w:textAlignment w:val="auto"/>
              <w:rPr>
                <w:rFonts w:hint="eastAsia" w:ascii="方正小标宋简体" w:hAnsi="方正小标宋简体" w:eastAsia="方正小标宋简体" w:cs="方正小标宋简体"/>
                <w:color w:val="auto"/>
                <w:sz w:val="44"/>
                <w:szCs w:val="44"/>
                <w:vertAlign w:val="baseline"/>
              </w:rPr>
            </w:pPr>
            <w:r>
              <w:rPr>
                <w:rFonts w:hint="eastAsia"/>
                <w:color w:val="auto"/>
              </w:rPr>
              <w:t>宣传组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1820" w:type="dxa"/>
            <w:vAlign w:val="top"/>
          </w:tcPr>
          <w:p>
            <w:pPr>
              <w:keepNext w:val="0"/>
              <w:keepLines w:val="0"/>
              <w:pageBreakBefore w:val="0"/>
              <w:widowControl w:val="0"/>
              <w:kinsoku/>
              <w:wordWrap/>
              <w:overflowPunct/>
              <w:topLinePunct w:val="0"/>
              <w:autoSpaceDE/>
              <w:autoSpaceDN/>
              <w:bidi w:val="0"/>
              <w:adjustRightInd/>
              <w:snapToGrid/>
              <w:spacing w:before="160" w:beforeLines="50" w:after="160" w:afterLines="50"/>
              <w:jc w:val="center"/>
              <w:textAlignment w:val="auto"/>
              <w:rPr>
                <w:rFonts w:hint="eastAsia" w:ascii="方正小标宋简体" w:hAnsi="方正小标宋简体" w:eastAsia="方正小标宋简体" w:cs="方正小标宋简体"/>
                <w:color w:val="auto"/>
                <w:sz w:val="44"/>
                <w:szCs w:val="44"/>
                <w:vertAlign w:val="baseline"/>
              </w:rPr>
            </w:pPr>
            <w:r>
              <w:rPr>
                <w:rFonts w:hint="eastAsia"/>
                <w:color w:val="auto"/>
              </w:rPr>
              <w:t>社会治安组</w:t>
            </w:r>
          </w:p>
        </w:tc>
      </w:tr>
    </w:tbl>
    <w:p>
      <w:pPr>
        <w:rPr>
          <w:rFonts w:hint="eastAsia" w:ascii="方正小标宋简体" w:hAnsi="方正小标宋简体" w:eastAsia="方正小标宋简体" w:cs="方正小标宋简体"/>
          <w:color w:val="auto"/>
          <w:sz w:val="44"/>
          <w:szCs w:val="44"/>
        </w:rPr>
      </w:pPr>
    </w:p>
    <w:p>
      <w:pPr>
        <w:rPr>
          <w:rFonts w:hint="eastAsia" w:ascii="方正小标宋简体" w:hAnsi="方正小标宋简体" w:eastAsia="方正小标宋简体" w:cs="方正小标宋简体"/>
          <w:color w:val="auto"/>
          <w:sz w:val="44"/>
          <w:szCs w:val="44"/>
        </w:rPr>
      </w:pPr>
    </w:p>
    <w:p>
      <w:pPr>
        <w:tabs>
          <w:tab w:val="left" w:pos="1392"/>
        </w:tabs>
        <w:jc w:val="left"/>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ab/>
      </w:r>
    </w:p>
    <w:p>
      <w:pPr>
        <w:pStyle w:val="6"/>
        <w:ind w:firstLine="990"/>
        <w:rPr>
          <w:rFonts w:hint="eastAsia" w:ascii="方正小标宋简体" w:hAnsi="方正小标宋简体" w:eastAsia="方正小标宋简体" w:cs="方正小标宋简体"/>
          <w:color w:val="auto"/>
          <w:kern w:val="2"/>
          <w:sz w:val="44"/>
          <w:szCs w:val="44"/>
        </w:rPr>
      </w:pPr>
    </w:p>
    <w:p>
      <w:pPr>
        <w:pStyle w:val="6"/>
        <w:ind w:firstLine="990"/>
        <w:rPr>
          <w:rFonts w:hint="eastAsia" w:ascii="方正小标宋简体" w:hAnsi="方正小标宋简体" w:eastAsia="方正小标宋简体" w:cs="方正小标宋简体"/>
          <w:color w:val="auto"/>
          <w:kern w:val="2"/>
          <w:sz w:val="44"/>
          <w:szCs w:val="44"/>
        </w:rPr>
      </w:pPr>
    </w:p>
    <w:p>
      <w:pPr>
        <w:pStyle w:val="6"/>
        <w:ind w:firstLine="990"/>
        <w:rPr>
          <w:rFonts w:hint="eastAsia" w:ascii="方正小标宋简体" w:hAnsi="方正小标宋简体" w:eastAsia="方正小标宋简体" w:cs="方正小标宋简体"/>
          <w:color w:val="auto"/>
          <w:kern w:val="2"/>
          <w:sz w:val="44"/>
          <w:szCs w:val="44"/>
        </w:rPr>
      </w:pPr>
    </w:p>
    <w:p>
      <w:pPr>
        <w:pStyle w:val="6"/>
        <w:spacing w:line="240" w:lineRule="exact"/>
        <w:ind w:firstLine="0" w:firstLineChars="0"/>
        <w:rPr>
          <w:rFonts w:hint="eastAsia" w:ascii="方正小标宋简体" w:hAnsi="方正小标宋简体" w:eastAsia="方正小标宋简体" w:cs="方正小标宋简体"/>
          <w:color w:val="auto"/>
          <w:kern w:val="2"/>
          <w:sz w:val="44"/>
          <w:szCs w:val="44"/>
        </w:rPr>
      </w:pPr>
    </w:p>
    <w:p>
      <w:pPr>
        <w:pStyle w:val="6"/>
        <w:spacing w:line="240" w:lineRule="exact"/>
        <w:ind w:firstLine="0" w:firstLineChars="0"/>
        <w:rPr>
          <w:rFonts w:hint="eastAsia" w:ascii="方正小标宋简体" w:hAnsi="方正小标宋简体" w:eastAsia="方正小标宋简体" w:cs="方正小标宋简体"/>
          <w:color w:val="auto"/>
          <w:kern w:val="2"/>
          <w:sz w:val="44"/>
          <w:szCs w:val="44"/>
        </w:rPr>
        <w:sectPr>
          <w:headerReference r:id="rId3" w:type="first"/>
          <w:footerReference r:id="rId4" w:type="default"/>
          <w:footerReference r:id="rId5" w:type="even"/>
          <w:pgSz w:w="11906" w:h="16838"/>
          <w:pgMar w:top="1984" w:right="1474" w:bottom="1440" w:left="1587" w:header="850" w:footer="1417" w:gutter="0"/>
          <w:pgBorders>
            <w:top w:val="none" w:sz="0" w:space="0"/>
            <w:left w:val="none" w:sz="0" w:space="0"/>
            <w:bottom w:val="none" w:sz="0" w:space="0"/>
            <w:right w:val="none" w:sz="0" w:space="0"/>
          </w:pgBorders>
          <w:pgNumType w:fmt="decimal"/>
          <w:cols w:space="0" w:num="1"/>
          <w:rtlGutter w:val="0"/>
          <w:docGrid w:type="lines" w:linePitch="318" w:charSpace="0"/>
        </w:sectPr>
      </w:pPr>
    </w:p>
    <w:p>
      <w:pPr>
        <w:tabs>
          <w:tab w:val="left" w:pos="580"/>
        </w:tabs>
        <w:autoSpaceDE w:val="0"/>
        <w:autoSpaceDN w:val="0"/>
        <w:adjustRightInd w:val="0"/>
        <w:snapToGrid w:val="0"/>
        <w:spacing w:line="600" w:lineRule="exact"/>
        <w:rPr>
          <w:rFonts w:hint="eastAsia" w:ascii="黑体" w:hAnsi="黑体" w:eastAsia="黑体" w:cs="黑体"/>
          <w:color w:val="auto"/>
          <w:kern w:val="0"/>
          <w:sz w:val="32"/>
          <w:szCs w:val="32"/>
          <w:lang w:val="en" w:eastAsia="zh-CN" w:bidi="ar-SA"/>
        </w:rPr>
      </w:pPr>
      <w:r>
        <w:rPr>
          <w:rFonts w:hint="eastAsia" w:ascii="黑体" w:hAnsi="黑体" w:eastAsia="黑体" w:cs="黑体"/>
          <w:color w:val="auto"/>
          <w:kern w:val="0"/>
          <w:sz w:val="32"/>
          <w:szCs w:val="32"/>
          <w:lang w:val="en-US" w:eastAsia="zh-CN" w:bidi="ar-SA"/>
        </w:rPr>
        <w:t>附件</w:t>
      </w:r>
      <w:r>
        <w:rPr>
          <w:rFonts w:hint="eastAsia" w:ascii="黑体" w:hAnsi="黑体" w:eastAsia="黑体" w:cs="黑体"/>
          <w:color w:val="auto"/>
          <w:kern w:val="0"/>
          <w:sz w:val="32"/>
          <w:szCs w:val="32"/>
          <w:lang w:val="en" w:eastAsia="zh-CN" w:bidi="ar-SA"/>
        </w:rPr>
        <w:t>2</w:t>
      </w:r>
    </w:p>
    <w:p>
      <w:pPr>
        <w:pStyle w:val="6"/>
        <w:ind w:firstLine="540"/>
        <w:rPr>
          <w:rFonts w:hint="eastAsia"/>
          <w:color w:val="auto"/>
          <w:lang w:val="en"/>
        </w:rPr>
      </w:pPr>
    </w:p>
    <w:p>
      <w:pPr>
        <w:keepNext w:val="0"/>
        <w:keepLines w:val="0"/>
        <w:pageBreakBefore w:val="0"/>
        <w:widowControl w:val="0"/>
        <w:tabs>
          <w:tab w:val="left" w:pos="580"/>
        </w:tabs>
        <w:kinsoku/>
        <w:wordWrap/>
        <w:overflowPunct/>
        <w:topLinePunct w:val="0"/>
        <w:autoSpaceDE w:val="0"/>
        <w:autoSpaceDN w:val="0"/>
        <w:bidi w:val="0"/>
        <w:adjustRightInd w:val="0"/>
        <w:snapToGrid w:val="0"/>
        <w:spacing w:after="165" w:afterLines="50" w:line="600" w:lineRule="exact"/>
        <w:jc w:val="center"/>
        <w:textAlignment w:val="auto"/>
        <w:rPr>
          <w:rFonts w:hint="eastAsia" w:ascii="方正小标宋简体" w:hAnsi="方正小标宋简体" w:eastAsia="方正小标宋简体" w:cs="方正小标宋简体"/>
          <w:color w:val="auto"/>
          <w:kern w:val="0"/>
          <w:sz w:val="44"/>
          <w:szCs w:val="44"/>
        </w:rPr>
      </w:pPr>
      <w:r>
        <w:rPr>
          <w:rFonts w:hint="eastAsia" w:ascii="方正小标宋简体" w:hAnsi="方正小标宋简体" w:eastAsia="方正小标宋简体" w:cs="方正小标宋简体"/>
          <w:color w:val="auto"/>
          <w:kern w:val="0"/>
          <w:sz w:val="44"/>
          <w:szCs w:val="44"/>
          <w:lang w:eastAsia="zh-CN"/>
        </w:rPr>
        <w:t>夏县</w:t>
      </w:r>
      <w:r>
        <w:rPr>
          <w:rFonts w:hint="eastAsia" w:ascii="方正小标宋简体" w:hAnsi="方正小标宋简体" w:eastAsia="方正小标宋简体" w:cs="方正小标宋简体"/>
          <w:color w:val="auto"/>
          <w:kern w:val="0"/>
          <w:sz w:val="44"/>
          <w:szCs w:val="44"/>
        </w:rPr>
        <w:t>突发公共卫生事件应急指挥机构组成及职责</w:t>
      </w:r>
    </w:p>
    <w:tbl>
      <w:tblPr>
        <w:tblStyle w:val="7"/>
        <w:tblW w:w="133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1"/>
        <w:gridCol w:w="2721"/>
        <w:gridCol w:w="100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blHeader/>
          <w:jc w:val="center"/>
        </w:trPr>
        <w:tc>
          <w:tcPr>
            <w:tcW w:w="3312" w:type="dxa"/>
            <w:gridSpan w:val="2"/>
            <w:vAlign w:val="center"/>
          </w:tcPr>
          <w:p>
            <w:pPr>
              <w:tabs>
                <w:tab w:val="left" w:pos="580"/>
              </w:tabs>
              <w:autoSpaceDE w:val="0"/>
              <w:autoSpaceDN w:val="0"/>
              <w:adjustRightInd w:val="0"/>
              <w:snapToGrid w:val="0"/>
              <w:jc w:val="center"/>
              <w:rPr>
                <w:rFonts w:hint="eastAsia" w:ascii="黑体" w:hAnsi="黑体" w:eastAsia="黑体" w:cs="黑体"/>
                <w:color w:val="auto"/>
                <w:kern w:val="0"/>
                <w:sz w:val="24"/>
              </w:rPr>
            </w:pPr>
            <w:r>
              <w:rPr>
                <w:rFonts w:hint="eastAsia" w:ascii="黑体" w:hAnsi="黑体" w:eastAsia="黑体" w:cs="黑体"/>
                <w:color w:val="auto"/>
                <w:kern w:val="0"/>
                <w:sz w:val="24"/>
              </w:rPr>
              <w:t>指挥机构组成</w:t>
            </w:r>
          </w:p>
        </w:tc>
        <w:tc>
          <w:tcPr>
            <w:tcW w:w="10007" w:type="dxa"/>
            <w:vAlign w:val="center"/>
          </w:tcPr>
          <w:p>
            <w:pPr>
              <w:tabs>
                <w:tab w:val="left" w:pos="580"/>
              </w:tabs>
              <w:autoSpaceDE w:val="0"/>
              <w:autoSpaceDN w:val="0"/>
              <w:adjustRightInd w:val="0"/>
              <w:snapToGrid w:val="0"/>
              <w:jc w:val="center"/>
              <w:rPr>
                <w:rFonts w:hint="eastAsia" w:ascii="黑体" w:hAnsi="黑体" w:eastAsia="黑体" w:cs="黑体"/>
                <w:color w:val="auto"/>
                <w:kern w:val="0"/>
                <w:sz w:val="24"/>
              </w:rPr>
            </w:pPr>
            <w:r>
              <w:rPr>
                <w:rFonts w:hint="eastAsia" w:ascii="黑体" w:hAnsi="黑体" w:eastAsia="黑体" w:cs="黑体"/>
                <w:color w:val="auto"/>
                <w:kern w:val="0"/>
                <w:sz w:val="24"/>
              </w:rPr>
              <w:t>主  要  职  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9" w:hRule="atLeast"/>
          <w:jc w:val="center"/>
        </w:trPr>
        <w:tc>
          <w:tcPr>
            <w:tcW w:w="591" w:type="dxa"/>
            <w:vAlign w:val="center"/>
          </w:tcPr>
          <w:p>
            <w:pPr>
              <w:tabs>
                <w:tab w:val="left" w:pos="580"/>
              </w:tabs>
              <w:autoSpaceDE w:val="0"/>
              <w:autoSpaceDN w:val="0"/>
              <w:adjustRightInd w:val="0"/>
              <w:snapToGrid w:val="0"/>
              <w:jc w:val="center"/>
              <w:rPr>
                <w:rFonts w:hint="eastAsia" w:ascii="宋体" w:hAnsi="宋体" w:cs="宋体"/>
                <w:b/>
                <w:bCs/>
                <w:color w:val="auto"/>
                <w:kern w:val="0"/>
                <w:sz w:val="24"/>
              </w:rPr>
            </w:pPr>
            <w:r>
              <w:rPr>
                <w:rFonts w:hint="eastAsia" w:ascii="宋体" w:hAnsi="宋体" w:cs="宋体"/>
                <w:b/>
                <w:bCs/>
                <w:color w:val="auto"/>
                <w:kern w:val="0"/>
                <w:sz w:val="24"/>
              </w:rPr>
              <w:t>指</w:t>
            </w:r>
          </w:p>
          <w:p>
            <w:pPr>
              <w:tabs>
                <w:tab w:val="left" w:pos="580"/>
              </w:tabs>
              <w:autoSpaceDE w:val="0"/>
              <w:autoSpaceDN w:val="0"/>
              <w:adjustRightInd w:val="0"/>
              <w:snapToGrid w:val="0"/>
              <w:jc w:val="center"/>
              <w:rPr>
                <w:rFonts w:hint="eastAsia" w:ascii="宋体" w:hAnsi="宋体" w:cs="宋体"/>
                <w:b/>
                <w:bCs/>
                <w:color w:val="auto"/>
                <w:kern w:val="0"/>
                <w:sz w:val="24"/>
              </w:rPr>
            </w:pPr>
            <w:r>
              <w:rPr>
                <w:rFonts w:hint="eastAsia" w:ascii="宋体" w:hAnsi="宋体" w:cs="宋体"/>
                <w:b/>
                <w:bCs/>
                <w:color w:val="auto"/>
                <w:kern w:val="0"/>
                <w:sz w:val="24"/>
              </w:rPr>
              <w:t>挥</w:t>
            </w:r>
          </w:p>
          <w:p>
            <w:pPr>
              <w:tabs>
                <w:tab w:val="left" w:pos="580"/>
              </w:tabs>
              <w:autoSpaceDE w:val="0"/>
              <w:autoSpaceDN w:val="0"/>
              <w:adjustRightInd w:val="0"/>
              <w:snapToGrid w:val="0"/>
              <w:jc w:val="center"/>
              <w:rPr>
                <w:rFonts w:hint="eastAsia" w:ascii="宋体" w:hAnsi="宋体" w:cs="宋体"/>
                <w:color w:val="auto"/>
                <w:kern w:val="0"/>
                <w:sz w:val="24"/>
              </w:rPr>
            </w:pPr>
            <w:r>
              <w:rPr>
                <w:rFonts w:hint="eastAsia" w:ascii="宋体" w:hAnsi="宋体" w:cs="宋体"/>
                <w:b/>
                <w:bCs/>
                <w:color w:val="auto"/>
                <w:kern w:val="0"/>
                <w:sz w:val="24"/>
              </w:rPr>
              <w:t>长</w:t>
            </w:r>
          </w:p>
        </w:tc>
        <w:tc>
          <w:tcPr>
            <w:tcW w:w="2721" w:type="dxa"/>
            <w:vAlign w:val="center"/>
          </w:tcPr>
          <w:p>
            <w:pPr>
              <w:tabs>
                <w:tab w:val="left" w:pos="580"/>
              </w:tabs>
              <w:autoSpaceDE w:val="0"/>
              <w:autoSpaceDN w:val="0"/>
              <w:adjustRightInd w:val="0"/>
              <w:snapToGrid w:val="0"/>
              <w:jc w:val="center"/>
              <w:rPr>
                <w:rFonts w:hint="eastAsia" w:ascii="宋体" w:hAnsi="宋体" w:cs="宋体"/>
                <w:color w:val="auto"/>
                <w:kern w:val="0"/>
                <w:sz w:val="24"/>
              </w:rPr>
            </w:pPr>
            <w:r>
              <w:rPr>
                <w:rFonts w:hint="eastAsia" w:ascii="宋体" w:hAnsi="宋体" w:cs="宋体"/>
                <w:color w:val="auto"/>
                <w:kern w:val="0"/>
                <w:sz w:val="24"/>
                <w:lang w:eastAsia="zh-CN"/>
              </w:rPr>
              <w:t>县</w:t>
            </w:r>
            <w:r>
              <w:rPr>
                <w:rFonts w:hint="eastAsia" w:ascii="宋体" w:hAnsi="宋体" w:cs="宋体"/>
                <w:color w:val="auto"/>
                <w:kern w:val="0"/>
                <w:sz w:val="24"/>
              </w:rPr>
              <w:t>政府</w:t>
            </w:r>
          </w:p>
          <w:p>
            <w:pPr>
              <w:tabs>
                <w:tab w:val="left" w:pos="580"/>
              </w:tabs>
              <w:autoSpaceDE w:val="0"/>
              <w:autoSpaceDN w:val="0"/>
              <w:adjustRightInd w:val="0"/>
              <w:snapToGrid w:val="0"/>
              <w:jc w:val="center"/>
              <w:rPr>
                <w:rFonts w:hint="eastAsia" w:ascii="宋体" w:hAnsi="宋体" w:cs="宋体"/>
                <w:color w:val="auto"/>
                <w:kern w:val="0"/>
                <w:sz w:val="24"/>
                <w:lang w:val="en-US" w:eastAsia="zh-CN"/>
              </w:rPr>
            </w:pPr>
            <w:r>
              <w:rPr>
                <w:rFonts w:hint="eastAsia" w:ascii="宋体" w:hAnsi="宋体" w:cs="宋体"/>
                <w:color w:val="auto"/>
                <w:kern w:val="0"/>
                <w:sz w:val="24"/>
              </w:rPr>
              <w:t>分管卫</w:t>
            </w:r>
            <w:r>
              <w:rPr>
                <w:rFonts w:hint="eastAsia" w:ascii="宋体" w:hAnsi="宋体" w:cs="宋体"/>
                <w:color w:val="auto"/>
                <w:kern w:val="0"/>
                <w:sz w:val="24"/>
                <w:lang w:val="en-US" w:eastAsia="zh-CN"/>
              </w:rPr>
              <w:t>生</w:t>
            </w:r>
            <w:r>
              <w:rPr>
                <w:rFonts w:hint="eastAsia" w:ascii="宋体" w:hAnsi="宋体" w:cs="宋体"/>
                <w:color w:val="auto"/>
                <w:kern w:val="0"/>
                <w:sz w:val="24"/>
              </w:rPr>
              <w:t>健</w:t>
            </w:r>
            <w:r>
              <w:rPr>
                <w:rFonts w:hint="eastAsia" w:ascii="宋体" w:hAnsi="宋体" w:cs="宋体"/>
                <w:color w:val="auto"/>
                <w:kern w:val="0"/>
                <w:sz w:val="24"/>
                <w:lang w:val="en-US" w:eastAsia="zh-CN"/>
              </w:rPr>
              <w:t>康和体育</w:t>
            </w:r>
          </w:p>
          <w:p>
            <w:pPr>
              <w:tabs>
                <w:tab w:val="left" w:pos="580"/>
              </w:tabs>
              <w:autoSpaceDE w:val="0"/>
              <w:autoSpaceDN w:val="0"/>
              <w:adjustRightInd w:val="0"/>
              <w:snapToGrid w:val="0"/>
              <w:jc w:val="center"/>
              <w:rPr>
                <w:rFonts w:hint="eastAsia" w:ascii="宋体" w:hAnsi="宋体" w:cs="宋体"/>
                <w:color w:val="auto"/>
                <w:kern w:val="0"/>
                <w:sz w:val="24"/>
              </w:rPr>
            </w:pPr>
            <w:r>
              <w:rPr>
                <w:rFonts w:hint="eastAsia" w:ascii="宋体" w:hAnsi="宋体" w:cs="宋体"/>
                <w:color w:val="auto"/>
                <w:kern w:val="0"/>
                <w:sz w:val="24"/>
              </w:rPr>
              <w:t>工作的副</w:t>
            </w:r>
            <w:r>
              <w:rPr>
                <w:rFonts w:hint="eastAsia" w:ascii="宋体" w:hAnsi="宋体" w:cs="宋体"/>
                <w:color w:val="auto"/>
                <w:kern w:val="0"/>
                <w:sz w:val="24"/>
                <w:lang w:eastAsia="zh-CN"/>
              </w:rPr>
              <w:t>县</w:t>
            </w:r>
            <w:r>
              <w:rPr>
                <w:rFonts w:hint="eastAsia" w:ascii="宋体" w:hAnsi="宋体" w:cs="宋体"/>
                <w:color w:val="auto"/>
                <w:kern w:val="0"/>
                <w:sz w:val="24"/>
              </w:rPr>
              <w:t>长</w:t>
            </w:r>
          </w:p>
        </w:tc>
        <w:tc>
          <w:tcPr>
            <w:tcW w:w="10007" w:type="dxa"/>
            <w:vMerge w:val="restart"/>
            <w:vAlign w:val="center"/>
          </w:tcPr>
          <w:p>
            <w:pPr>
              <w:adjustRightInd w:val="0"/>
              <w:snapToGrid w:val="0"/>
              <w:ind w:firstLine="482" w:firstLineChars="200"/>
              <w:rPr>
                <w:rFonts w:hint="eastAsia" w:ascii="宋体" w:hAnsi="宋体" w:cs="宋体"/>
                <w:color w:val="auto"/>
                <w:sz w:val="24"/>
              </w:rPr>
            </w:pPr>
            <w:r>
              <w:rPr>
                <w:rFonts w:hint="eastAsia" w:ascii="宋体" w:hAnsi="宋体" w:cs="宋体"/>
                <w:b/>
                <w:bCs/>
                <w:color w:val="auto"/>
                <w:kern w:val="0"/>
                <w:sz w:val="24"/>
                <w:lang w:eastAsia="zh-CN"/>
              </w:rPr>
              <w:t>县</w:t>
            </w:r>
            <w:r>
              <w:rPr>
                <w:rFonts w:hint="eastAsia" w:ascii="宋体" w:hAnsi="宋体" w:cs="宋体"/>
                <w:b/>
                <w:bCs/>
                <w:color w:val="auto"/>
                <w:kern w:val="0"/>
                <w:sz w:val="24"/>
              </w:rPr>
              <w:t>指挥部主要职责</w:t>
            </w:r>
            <w:r>
              <w:rPr>
                <w:rFonts w:hint="eastAsia" w:ascii="宋体" w:hAnsi="宋体" w:cs="宋体"/>
                <w:color w:val="auto"/>
                <w:kern w:val="0"/>
                <w:sz w:val="24"/>
              </w:rPr>
              <w:t>：贯彻落实省委、市委、</w:t>
            </w:r>
            <w:r>
              <w:rPr>
                <w:rFonts w:hint="eastAsia" w:ascii="宋体" w:hAnsi="宋体" w:cs="宋体"/>
                <w:color w:val="auto"/>
                <w:kern w:val="0"/>
                <w:sz w:val="24"/>
                <w:lang w:eastAsia="zh-CN"/>
              </w:rPr>
              <w:t>县委、县</w:t>
            </w:r>
            <w:r>
              <w:rPr>
                <w:rFonts w:hint="eastAsia" w:ascii="宋体" w:hAnsi="宋体" w:cs="宋体"/>
                <w:color w:val="auto"/>
                <w:kern w:val="0"/>
                <w:sz w:val="24"/>
              </w:rPr>
              <w:t>政府关于公共卫生</w:t>
            </w:r>
            <w:r>
              <w:rPr>
                <w:rFonts w:hint="eastAsia" w:ascii="宋体" w:hAnsi="宋体" w:cs="宋体"/>
                <w:color w:val="auto"/>
                <w:sz w:val="24"/>
              </w:rPr>
              <w:t>工作的决策部署，统筹协调全</w:t>
            </w:r>
            <w:r>
              <w:rPr>
                <w:rFonts w:hint="eastAsia" w:ascii="宋体" w:hAnsi="宋体" w:cs="宋体"/>
                <w:color w:val="auto"/>
                <w:sz w:val="24"/>
                <w:lang w:eastAsia="zh-CN"/>
              </w:rPr>
              <w:t>县</w:t>
            </w:r>
            <w:r>
              <w:rPr>
                <w:rFonts w:hint="eastAsia" w:ascii="宋体" w:hAnsi="宋体" w:cs="宋体"/>
                <w:color w:val="auto"/>
                <w:sz w:val="24"/>
              </w:rPr>
              <w:t>传染病疫情、群体性不明原因疾病、急性中毒等突发公共卫生事件</w:t>
            </w:r>
            <w:r>
              <w:rPr>
                <w:rFonts w:hint="eastAsia" w:ascii="宋体" w:hAnsi="宋体" w:cs="宋体"/>
                <w:color w:val="auto"/>
                <w:sz w:val="24"/>
                <w:lang w:val="en-US" w:eastAsia="zh-CN"/>
              </w:rPr>
              <w:t>的</w:t>
            </w:r>
            <w:r>
              <w:rPr>
                <w:rFonts w:hint="eastAsia" w:ascii="宋体" w:hAnsi="宋体" w:cs="宋体"/>
                <w:color w:val="auto"/>
                <w:sz w:val="24"/>
              </w:rPr>
              <w:t>防范控制工作，制定公共卫生安全总体规划、重要措施，组织指挥</w:t>
            </w:r>
            <w:r>
              <w:rPr>
                <w:rFonts w:hint="eastAsia" w:ascii="宋体" w:hAnsi="宋体" w:cs="宋体"/>
                <w:color w:val="auto"/>
                <w:sz w:val="24"/>
                <w:lang w:val="en-US" w:eastAsia="zh-CN"/>
              </w:rPr>
              <w:t>一般</w:t>
            </w:r>
            <w:r>
              <w:rPr>
                <w:rFonts w:hint="eastAsia" w:ascii="宋体" w:hAnsi="宋体" w:cs="宋体"/>
                <w:color w:val="auto"/>
                <w:sz w:val="24"/>
              </w:rPr>
              <w:t>突发公共卫生事件应急处置工作，决定</w:t>
            </w:r>
            <w:r>
              <w:rPr>
                <w:rFonts w:hint="eastAsia" w:ascii="宋体" w:hAnsi="宋体" w:cs="宋体"/>
                <w:color w:val="auto"/>
                <w:sz w:val="24"/>
                <w:lang w:eastAsia="zh-CN"/>
              </w:rPr>
              <w:t>县</w:t>
            </w:r>
            <w:r>
              <w:rPr>
                <w:rFonts w:hint="eastAsia" w:ascii="宋体" w:hAnsi="宋体" w:cs="宋体"/>
                <w:color w:val="auto"/>
                <w:sz w:val="24"/>
              </w:rPr>
              <w:t>级层面突发公共卫生事件响应级别并组织落实响应措施，颁布临时规定，依法实施管理、限制等措施，指导协调突发公共卫生事件调查评估和善后处置工作，落实</w:t>
            </w:r>
            <w:r>
              <w:rPr>
                <w:rFonts w:hint="eastAsia" w:ascii="宋体" w:hAnsi="宋体" w:cs="宋体"/>
                <w:color w:val="auto"/>
                <w:sz w:val="24"/>
                <w:lang w:eastAsia="zh-CN"/>
              </w:rPr>
              <w:t>县</w:t>
            </w:r>
            <w:r>
              <w:rPr>
                <w:rFonts w:hint="eastAsia" w:ascii="宋体" w:hAnsi="宋体" w:cs="宋体"/>
                <w:color w:val="auto"/>
                <w:sz w:val="24"/>
              </w:rPr>
              <w:t>委、</w:t>
            </w:r>
            <w:r>
              <w:rPr>
                <w:rFonts w:hint="eastAsia" w:ascii="宋体" w:hAnsi="宋体" w:cs="宋体"/>
                <w:color w:val="auto"/>
                <w:sz w:val="24"/>
                <w:lang w:eastAsia="zh-CN"/>
              </w:rPr>
              <w:t>县</w:t>
            </w:r>
            <w:r>
              <w:rPr>
                <w:rFonts w:hint="eastAsia" w:ascii="宋体" w:hAnsi="宋体" w:cs="宋体"/>
                <w:color w:val="auto"/>
                <w:sz w:val="24"/>
              </w:rPr>
              <w:t>政府和</w:t>
            </w:r>
            <w:r>
              <w:rPr>
                <w:rFonts w:hint="eastAsia" w:ascii="宋体" w:hAnsi="宋体" w:cs="宋体"/>
                <w:color w:val="auto"/>
                <w:sz w:val="24"/>
                <w:lang w:eastAsia="zh-CN"/>
              </w:rPr>
              <w:t>县</w:t>
            </w:r>
            <w:r>
              <w:rPr>
                <w:rFonts w:hint="eastAsia" w:ascii="宋体" w:hAnsi="宋体" w:cs="宋体"/>
                <w:color w:val="auto"/>
                <w:sz w:val="24"/>
              </w:rPr>
              <w:t>应急救援总指挥部交办的突发公共卫生事件应急处置的其他事项。</w:t>
            </w:r>
          </w:p>
          <w:p>
            <w:pPr>
              <w:pStyle w:val="6"/>
              <w:rPr>
                <w:rFonts w:hint="eastAsia"/>
                <w:color w:val="auto"/>
              </w:rPr>
            </w:pPr>
          </w:p>
          <w:p>
            <w:pPr>
              <w:adjustRightInd w:val="0"/>
              <w:snapToGrid w:val="0"/>
              <w:ind w:firstLine="482" w:firstLineChars="200"/>
              <w:rPr>
                <w:rFonts w:hint="eastAsia" w:ascii="宋体" w:hAnsi="宋体" w:cs="宋体"/>
                <w:color w:val="auto"/>
                <w:kern w:val="0"/>
                <w:sz w:val="24"/>
              </w:rPr>
            </w:pPr>
            <w:r>
              <w:rPr>
                <w:rFonts w:hint="eastAsia" w:ascii="宋体" w:hAnsi="宋体" w:cs="宋体"/>
                <w:b/>
                <w:bCs/>
                <w:color w:val="auto"/>
                <w:sz w:val="24"/>
                <w:lang w:eastAsia="zh-CN"/>
              </w:rPr>
              <w:t>县</w:t>
            </w:r>
            <w:r>
              <w:rPr>
                <w:rFonts w:hint="eastAsia" w:ascii="宋体" w:hAnsi="宋体" w:cs="宋体"/>
                <w:b/>
                <w:bCs/>
                <w:color w:val="auto"/>
                <w:sz w:val="24"/>
              </w:rPr>
              <w:t>指挥部办公室主要职责</w:t>
            </w:r>
            <w:r>
              <w:rPr>
                <w:rFonts w:hint="eastAsia" w:ascii="宋体" w:hAnsi="宋体" w:cs="宋体"/>
                <w:color w:val="auto"/>
                <w:sz w:val="24"/>
              </w:rPr>
              <w:t>：承担</w:t>
            </w:r>
            <w:r>
              <w:rPr>
                <w:rFonts w:hint="eastAsia" w:ascii="宋体" w:hAnsi="宋体" w:cs="宋体"/>
                <w:color w:val="auto"/>
                <w:sz w:val="24"/>
                <w:lang w:eastAsia="zh-CN"/>
              </w:rPr>
              <w:t>县</w:t>
            </w:r>
            <w:r>
              <w:rPr>
                <w:rFonts w:hint="eastAsia" w:ascii="宋体" w:hAnsi="宋体" w:cs="宋体"/>
                <w:color w:val="auto"/>
                <w:sz w:val="24"/>
              </w:rPr>
              <w:t>指挥部日常工作，制定、修订突发公共卫生事件专项应急预案，组织突发公共卫生事件监测预警和防范治理工作，开展桌面推演、实兵演练等应对突发公共卫生事件专项训练，协调各方面力量参加突发公共卫生事件应急处置，协助</w:t>
            </w:r>
            <w:r>
              <w:rPr>
                <w:rFonts w:hint="eastAsia" w:ascii="宋体" w:hAnsi="宋体" w:cs="宋体"/>
                <w:color w:val="auto"/>
                <w:sz w:val="24"/>
                <w:lang w:eastAsia="zh-CN"/>
              </w:rPr>
              <w:t>县</w:t>
            </w:r>
            <w:r>
              <w:rPr>
                <w:rFonts w:hint="eastAsia" w:ascii="宋体" w:hAnsi="宋体" w:cs="宋体"/>
                <w:color w:val="auto"/>
                <w:sz w:val="24"/>
              </w:rPr>
              <w:t>委、</w:t>
            </w:r>
            <w:r>
              <w:rPr>
                <w:rFonts w:hint="eastAsia" w:ascii="宋体" w:hAnsi="宋体" w:cs="宋体"/>
                <w:color w:val="auto"/>
                <w:sz w:val="24"/>
                <w:lang w:eastAsia="zh-CN"/>
              </w:rPr>
              <w:t>县</w:t>
            </w:r>
            <w:r>
              <w:rPr>
                <w:rFonts w:hint="eastAsia" w:ascii="宋体" w:hAnsi="宋体" w:cs="宋体"/>
                <w:color w:val="auto"/>
                <w:sz w:val="24"/>
              </w:rPr>
              <w:t>政府指定的负责同志组织开展突发公共卫生事件应急处置，协调组织突发公共卫生事件调查评估和善后处置工作，报告和发布突发公共卫生事件信息，指导</w:t>
            </w:r>
            <w:r>
              <w:rPr>
                <w:rFonts w:hint="eastAsia" w:ascii="宋体" w:hAnsi="宋体" w:cs="宋体"/>
                <w:color w:val="auto"/>
                <w:sz w:val="24"/>
                <w:lang w:eastAsia="zh-CN"/>
              </w:rPr>
              <w:t>乡</w:t>
            </w:r>
            <w:r>
              <w:rPr>
                <w:rFonts w:hint="eastAsia" w:ascii="宋体" w:hAnsi="宋体" w:cs="宋体"/>
                <w:color w:val="auto"/>
                <w:sz w:val="24"/>
              </w:rPr>
              <w:t>（</w:t>
            </w:r>
            <w:r>
              <w:rPr>
                <w:rFonts w:hint="eastAsia" w:ascii="宋体" w:hAnsi="宋体" w:cs="宋体"/>
                <w:color w:val="auto"/>
                <w:sz w:val="24"/>
                <w:lang w:eastAsia="zh-CN"/>
              </w:rPr>
              <w:t>镇</w:t>
            </w:r>
            <w:r>
              <w:rPr>
                <w:rFonts w:hint="eastAsia" w:ascii="宋体" w:hAnsi="宋体" w:cs="宋体"/>
                <w:color w:val="auto"/>
                <w:sz w:val="24"/>
              </w:rPr>
              <w:t>）</w:t>
            </w:r>
            <w:r>
              <w:rPr>
                <w:rFonts w:hint="eastAsia" w:ascii="宋体" w:hAnsi="宋体" w:cs="宋体"/>
                <w:color w:val="auto"/>
                <w:sz w:val="24"/>
                <w:lang w:val="en-US" w:eastAsia="zh-CN"/>
              </w:rPr>
              <w:t>等基层单位</w:t>
            </w:r>
            <w:r>
              <w:rPr>
                <w:rFonts w:hint="eastAsia" w:ascii="宋体" w:hAnsi="宋体" w:cs="宋体"/>
                <w:color w:val="auto"/>
                <w:sz w:val="24"/>
              </w:rPr>
              <w:t>做好突发公共卫生事件应对等工作。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jc w:val="center"/>
        </w:trPr>
        <w:tc>
          <w:tcPr>
            <w:tcW w:w="591" w:type="dxa"/>
            <w:vMerge w:val="restart"/>
            <w:vAlign w:val="center"/>
          </w:tcPr>
          <w:p>
            <w:pPr>
              <w:tabs>
                <w:tab w:val="left" w:pos="580"/>
              </w:tabs>
              <w:autoSpaceDE w:val="0"/>
              <w:autoSpaceDN w:val="0"/>
              <w:adjustRightInd w:val="0"/>
              <w:snapToGrid w:val="0"/>
              <w:jc w:val="center"/>
              <w:rPr>
                <w:rFonts w:hint="eastAsia" w:ascii="宋体" w:hAnsi="宋体" w:cs="宋体"/>
                <w:b/>
                <w:bCs/>
                <w:color w:val="auto"/>
                <w:kern w:val="0"/>
                <w:sz w:val="24"/>
              </w:rPr>
            </w:pPr>
            <w:r>
              <w:rPr>
                <w:rFonts w:hint="eastAsia" w:ascii="宋体" w:hAnsi="宋体" w:cs="宋体"/>
                <w:b/>
                <w:bCs/>
                <w:color w:val="auto"/>
                <w:kern w:val="0"/>
                <w:sz w:val="24"/>
              </w:rPr>
              <w:t>副</w:t>
            </w:r>
          </w:p>
          <w:p>
            <w:pPr>
              <w:tabs>
                <w:tab w:val="left" w:pos="580"/>
              </w:tabs>
              <w:autoSpaceDE w:val="0"/>
              <w:autoSpaceDN w:val="0"/>
              <w:adjustRightInd w:val="0"/>
              <w:snapToGrid w:val="0"/>
              <w:jc w:val="center"/>
              <w:rPr>
                <w:rFonts w:hint="eastAsia" w:ascii="宋体" w:hAnsi="宋体" w:cs="宋体"/>
                <w:b/>
                <w:bCs/>
                <w:color w:val="auto"/>
                <w:kern w:val="0"/>
                <w:sz w:val="24"/>
              </w:rPr>
            </w:pPr>
            <w:r>
              <w:rPr>
                <w:rFonts w:hint="eastAsia" w:ascii="宋体" w:hAnsi="宋体" w:cs="宋体"/>
                <w:b/>
                <w:bCs/>
                <w:color w:val="auto"/>
                <w:kern w:val="0"/>
                <w:sz w:val="24"/>
              </w:rPr>
              <w:t>指</w:t>
            </w:r>
          </w:p>
          <w:p>
            <w:pPr>
              <w:tabs>
                <w:tab w:val="left" w:pos="580"/>
              </w:tabs>
              <w:autoSpaceDE w:val="0"/>
              <w:autoSpaceDN w:val="0"/>
              <w:adjustRightInd w:val="0"/>
              <w:snapToGrid w:val="0"/>
              <w:jc w:val="center"/>
              <w:rPr>
                <w:rFonts w:hint="eastAsia" w:ascii="宋体" w:hAnsi="宋体" w:cs="宋体"/>
                <w:b/>
                <w:bCs/>
                <w:color w:val="auto"/>
                <w:kern w:val="0"/>
                <w:sz w:val="24"/>
              </w:rPr>
            </w:pPr>
            <w:r>
              <w:rPr>
                <w:rFonts w:hint="eastAsia" w:ascii="宋体" w:hAnsi="宋体" w:cs="宋体"/>
                <w:b/>
                <w:bCs/>
                <w:color w:val="auto"/>
                <w:kern w:val="0"/>
                <w:sz w:val="24"/>
              </w:rPr>
              <w:t>挥</w:t>
            </w:r>
          </w:p>
          <w:p>
            <w:pPr>
              <w:tabs>
                <w:tab w:val="left" w:pos="580"/>
              </w:tabs>
              <w:autoSpaceDE w:val="0"/>
              <w:autoSpaceDN w:val="0"/>
              <w:adjustRightInd w:val="0"/>
              <w:snapToGrid w:val="0"/>
              <w:jc w:val="center"/>
              <w:rPr>
                <w:rFonts w:hint="eastAsia" w:ascii="宋体" w:hAnsi="宋体" w:cs="宋体"/>
                <w:color w:val="auto"/>
                <w:kern w:val="0"/>
                <w:sz w:val="24"/>
              </w:rPr>
            </w:pPr>
            <w:r>
              <w:rPr>
                <w:rFonts w:hint="eastAsia" w:ascii="宋体" w:hAnsi="宋体" w:cs="宋体"/>
                <w:b/>
                <w:bCs/>
                <w:color w:val="auto"/>
                <w:kern w:val="0"/>
                <w:sz w:val="24"/>
              </w:rPr>
              <w:t>长</w:t>
            </w:r>
          </w:p>
        </w:tc>
        <w:tc>
          <w:tcPr>
            <w:tcW w:w="2721" w:type="dxa"/>
            <w:vAlign w:val="center"/>
          </w:tcPr>
          <w:p>
            <w:pPr>
              <w:tabs>
                <w:tab w:val="left" w:pos="580"/>
              </w:tabs>
              <w:autoSpaceDE w:val="0"/>
              <w:autoSpaceDN w:val="0"/>
              <w:adjustRightInd w:val="0"/>
              <w:snapToGrid w:val="0"/>
              <w:jc w:val="center"/>
              <w:rPr>
                <w:rFonts w:hint="eastAsia" w:ascii="宋体" w:hAnsi="宋体" w:cs="宋体"/>
                <w:color w:val="auto"/>
                <w:kern w:val="0"/>
                <w:sz w:val="24"/>
              </w:rPr>
            </w:pPr>
            <w:r>
              <w:rPr>
                <w:rFonts w:hint="eastAsia" w:ascii="宋体" w:hAnsi="宋体" w:cs="宋体"/>
                <w:color w:val="auto"/>
                <w:kern w:val="0"/>
                <w:sz w:val="24"/>
                <w:lang w:eastAsia="zh-CN"/>
              </w:rPr>
              <w:t>县</w:t>
            </w:r>
            <w:r>
              <w:rPr>
                <w:rFonts w:hint="eastAsia" w:ascii="宋体" w:hAnsi="宋体" w:cs="宋体"/>
                <w:color w:val="auto"/>
                <w:kern w:val="0"/>
                <w:sz w:val="24"/>
              </w:rPr>
              <w:t>政府</w:t>
            </w:r>
            <w:r>
              <w:rPr>
                <w:rFonts w:hint="eastAsia" w:ascii="宋体" w:hAnsi="宋体" w:cs="宋体"/>
                <w:color w:val="auto"/>
                <w:kern w:val="0"/>
                <w:sz w:val="24"/>
                <w:lang w:eastAsia="zh-CN"/>
              </w:rPr>
              <w:t>办协管副主任</w:t>
            </w:r>
          </w:p>
        </w:tc>
        <w:tc>
          <w:tcPr>
            <w:tcW w:w="10007" w:type="dxa"/>
            <w:vMerge w:val="continue"/>
            <w:vAlign w:val="center"/>
          </w:tcPr>
          <w:p>
            <w:pPr>
              <w:tabs>
                <w:tab w:val="left" w:pos="580"/>
              </w:tabs>
              <w:autoSpaceDE w:val="0"/>
              <w:autoSpaceDN w:val="0"/>
              <w:adjustRightInd w:val="0"/>
              <w:snapToGrid w:val="0"/>
              <w:jc w:val="center"/>
              <w:rPr>
                <w:rFonts w:hint="eastAsia" w:ascii="宋体" w:hAnsi="宋体"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591" w:type="dxa"/>
            <w:vMerge w:val="continue"/>
            <w:vAlign w:val="center"/>
          </w:tcPr>
          <w:p>
            <w:pPr>
              <w:tabs>
                <w:tab w:val="left" w:pos="580"/>
              </w:tabs>
              <w:autoSpaceDE w:val="0"/>
              <w:autoSpaceDN w:val="0"/>
              <w:adjustRightInd w:val="0"/>
              <w:snapToGrid w:val="0"/>
              <w:jc w:val="center"/>
              <w:rPr>
                <w:rFonts w:hint="eastAsia" w:ascii="宋体" w:hAnsi="宋体" w:cs="宋体"/>
                <w:color w:val="auto"/>
                <w:kern w:val="0"/>
                <w:sz w:val="24"/>
              </w:rPr>
            </w:pPr>
          </w:p>
        </w:tc>
        <w:tc>
          <w:tcPr>
            <w:tcW w:w="2721" w:type="dxa"/>
            <w:vAlign w:val="center"/>
          </w:tcPr>
          <w:p>
            <w:pPr>
              <w:tabs>
                <w:tab w:val="left" w:pos="580"/>
              </w:tabs>
              <w:autoSpaceDE w:val="0"/>
              <w:autoSpaceDN w:val="0"/>
              <w:adjustRightInd w:val="0"/>
              <w:snapToGrid w:val="0"/>
              <w:jc w:val="center"/>
              <w:rPr>
                <w:rFonts w:hint="eastAsia" w:ascii="宋体" w:hAnsi="宋体" w:cs="宋体" w:eastAsiaTheme="minorEastAsia"/>
                <w:color w:val="auto"/>
                <w:kern w:val="0"/>
                <w:sz w:val="24"/>
                <w:lang w:eastAsia="zh-CN"/>
              </w:rPr>
            </w:pPr>
            <w:r>
              <w:rPr>
                <w:rFonts w:hint="eastAsia" w:ascii="宋体" w:hAnsi="宋体" w:cs="宋体"/>
                <w:color w:val="auto"/>
                <w:kern w:val="0"/>
                <w:sz w:val="24"/>
                <w:lang w:eastAsia="zh-CN"/>
              </w:rPr>
              <w:t>县人武部</w:t>
            </w:r>
            <w:r>
              <w:rPr>
                <w:rFonts w:hint="eastAsia" w:ascii="宋体" w:hAnsi="宋体" w:cs="宋体"/>
                <w:color w:val="auto"/>
                <w:kern w:val="0"/>
                <w:sz w:val="24"/>
                <w:lang w:val="en-US" w:eastAsia="zh-CN"/>
              </w:rPr>
              <w:t>部长</w:t>
            </w:r>
          </w:p>
        </w:tc>
        <w:tc>
          <w:tcPr>
            <w:tcW w:w="10007" w:type="dxa"/>
            <w:vMerge w:val="continue"/>
            <w:vAlign w:val="center"/>
          </w:tcPr>
          <w:p>
            <w:pPr>
              <w:tabs>
                <w:tab w:val="left" w:pos="580"/>
              </w:tabs>
              <w:autoSpaceDE w:val="0"/>
              <w:autoSpaceDN w:val="0"/>
              <w:adjustRightInd w:val="0"/>
              <w:snapToGrid w:val="0"/>
              <w:jc w:val="center"/>
              <w:rPr>
                <w:rFonts w:hint="eastAsia" w:ascii="宋体" w:hAnsi="宋体"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jc w:val="center"/>
        </w:trPr>
        <w:tc>
          <w:tcPr>
            <w:tcW w:w="591" w:type="dxa"/>
            <w:vMerge w:val="continue"/>
            <w:vAlign w:val="center"/>
          </w:tcPr>
          <w:p>
            <w:pPr>
              <w:tabs>
                <w:tab w:val="left" w:pos="580"/>
              </w:tabs>
              <w:autoSpaceDE w:val="0"/>
              <w:autoSpaceDN w:val="0"/>
              <w:adjustRightInd w:val="0"/>
              <w:snapToGrid w:val="0"/>
              <w:jc w:val="center"/>
              <w:rPr>
                <w:rFonts w:hint="eastAsia" w:ascii="宋体" w:hAnsi="宋体" w:cs="宋体"/>
                <w:color w:val="auto"/>
                <w:kern w:val="0"/>
                <w:sz w:val="24"/>
              </w:rPr>
            </w:pPr>
          </w:p>
        </w:tc>
        <w:tc>
          <w:tcPr>
            <w:tcW w:w="2721" w:type="dxa"/>
            <w:vAlign w:val="center"/>
          </w:tcPr>
          <w:p>
            <w:pPr>
              <w:tabs>
                <w:tab w:val="left" w:pos="580"/>
              </w:tabs>
              <w:autoSpaceDE w:val="0"/>
              <w:autoSpaceDN w:val="0"/>
              <w:adjustRightInd w:val="0"/>
              <w:snapToGrid w:val="0"/>
              <w:jc w:val="center"/>
              <w:rPr>
                <w:rFonts w:hint="eastAsia" w:ascii="宋体" w:hAnsi="宋体" w:cs="宋体"/>
                <w:color w:val="auto"/>
                <w:kern w:val="0"/>
                <w:sz w:val="24"/>
                <w:lang w:eastAsia="zh-CN"/>
              </w:rPr>
            </w:pPr>
            <w:r>
              <w:rPr>
                <w:rFonts w:hint="eastAsia" w:ascii="宋体" w:hAnsi="宋体" w:cs="宋体"/>
                <w:color w:val="auto"/>
                <w:kern w:val="0"/>
                <w:sz w:val="24"/>
                <w:lang w:eastAsia="zh-CN"/>
              </w:rPr>
              <w:t>县卫体局局长</w:t>
            </w:r>
          </w:p>
        </w:tc>
        <w:tc>
          <w:tcPr>
            <w:tcW w:w="10007" w:type="dxa"/>
            <w:vMerge w:val="continue"/>
            <w:vAlign w:val="center"/>
          </w:tcPr>
          <w:p>
            <w:pPr>
              <w:tabs>
                <w:tab w:val="left" w:pos="580"/>
              </w:tabs>
              <w:autoSpaceDE w:val="0"/>
              <w:autoSpaceDN w:val="0"/>
              <w:adjustRightInd w:val="0"/>
              <w:snapToGrid w:val="0"/>
              <w:jc w:val="center"/>
              <w:rPr>
                <w:rFonts w:hint="eastAsia" w:ascii="宋体" w:hAnsi="宋体"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jc w:val="center"/>
        </w:trPr>
        <w:tc>
          <w:tcPr>
            <w:tcW w:w="591" w:type="dxa"/>
            <w:vMerge w:val="continue"/>
            <w:vAlign w:val="center"/>
          </w:tcPr>
          <w:p>
            <w:pPr>
              <w:tabs>
                <w:tab w:val="left" w:pos="580"/>
              </w:tabs>
              <w:autoSpaceDE w:val="0"/>
              <w:autoSpaceDN w:val="0"/>
              <w:adjustRightInd w:val="0"/>
              <w:snapToGrid w:val="0"/>
              <w:jc w:val="center"/>
              <w:rPr>
                <w:rFonts w:hint="eastAsia" w:ascii="宋体" w:hAnsi="宋体" w:cs="宋体"/>
                <w:color w:val="auto"/>
                <w:kern w:val="0"/>
                <w:sz w:val="24"/>
              </w:rPr>
            </w:pPr>
          </w:p>
        </w:tc>
        <w:tc>
          <w:tcPr>
            <w:tcW w:w="2721" w:type="dxa"/>
            <w:vAlign w:val="center"/>
          </w:tcPr>
          <w:p>
            <w:pPr>
              <w:tabs>
                <w:tab w:val="left" w:pos="580"/>
              </w:tabs>
              <w:autoSpaceDE w:val="0"/>
              <w:autoSpaceDN w:val="0"/>
              <w:adjustRightInd w:val="0"/>
              <w:snapToGrid w:val="0"/>
              <w:jc w:val="center"/>
              <w:rPr>
                <w:rFonts w:hint="eastAsia" w:ascii="宋体" w:hAnsi="宋体" w:cs="宋体"/>
                <w:color w:val="auto"/>
                <w:kern w:val="0"/>
                <w:sz w:val="24"/>
                <w:lang w:eastAsia="zh-CN"/>
              </w:rPr>
            </w:pPr>
            <w:r>
              <w:rPr>
                <w:rFonts w:hint="eastAsia" w:ascii="宋体" w:hAnsi="宋体" w:cs="宋体"/>
                <w:color w:val="auto"/>
                <w:kern w:val="0"/>
                <w:sz w:val="24"/>
                <w:lang w:eastAsia="zh-CN"/>
              </w:rPr>
              <w:t>县</w:t>
            </w:r>
            <w:r>
              <w:rPr>
                <w:rFonts w:hint="eastAsia" w:ascii="宋体" w:hAnsi="宋体" w:cs="宋体"/>
                <w:color w:val="auto"/>
                <w:kern w:val="0"/>
                <w:sz w:val="24"/>
              </w:rPr>
              <w:t>应急</w:t>
            </w:r>
            <w:r>
              <w:rPr>
                <w:rFonts w:hint="eastAsia" w:ascii="宋体" w:hAnsi="宋体" w:cs="宋体"/>
                <w:color w:val="auto"/>
                <w:kern w:val="0"/>
                <w:sz w:val="24"/>
                <w:lang w:eastAsia="zh-CN"/>
              </w:rPr>
              <w:t>管理</w:t>
            </w:r>
            <w:r>
              <w:rPr>
                <w:rFonts w:hint="eastAsia" w:ascii="宋体" w:hAnsi="宋体" w:cs="宋体"/>
                <w:color w:val="auto"/>
                <w:kern w:val="0"/>
                <w:sz w:val="24"/>
              </w:rPr>
              <w:t>局局长</w:t>
            </w:r>
          </w:p>
        </w:tc>
        <w:tc>
          <w:tcPr>
            <w:tcW w:w="10007" w:type="dxa"/>
            <w:vMerge w:val="continue"/>
            <w:vAlign w:val="center"/>
          </w:tcPr>
          <w:p>
            <w:pPr>
              <w:tabs>
                <w:tab w:val="left" w:pos="580"/>
              </w:tabs>
              <w:autoSpaceDE w:val="0"/>
              <w:autoSpaceDN w:val="0"/>
              <w:adjustRightInd w:val="0"/>
              <w:snapToGrid w:val="0"/>
              <w:jc w:val="center"/>
              <w:rPr>
                <w:rFonts w:hint="eastAsia" w:ascii="宋体" w:hAnsi="宋体"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7" w:hRule="atLeast"/>
          <w:jc w:val="center"/>
        </w:trPr>
        <w:tc>
          <w:tcPr>
            <w:tcW w:w="591" w:type="dxa"/>
            <w:vMerge w:val="continue"/>
            <w:vAlign w:val="center"/>
          </w:tcPr>
          <w:p>
            <w:pPr>
              <w:tabs>
                <w:tab w:val="left" w:pos="580"/>
              </w:tabs>
              <w:autoSpaceDE w:val="0"/>
              <w:autoSpaceDN w:val="0"/>
              <w:adjustRightInd w:val="0"/>
              <w:snapToGrid w:val="0"/>
              <w:jc w:val="center"/>
              <w:rPr>
                <w:rFonts w:hint="eastAsia" w:ascii="宋体" w:hAnsi="宋体" w:cs="宋体"/>
                <w:color w:val="auto"/>
                <w:kern w:val="0"/>
                <w:sz w:val="24"/>
              </w:rPr>
            </w:pPr>
          </w:p>
        </w:tc>
        <w:tc>
          <w:tcPr>
            <w:tcW w:w="2721" w:type="dxa"/>
            <w:vAlign w:val="center"/>
          </w:tcPr>
          <w:p>
            <w:pPr>
              <w:tabs>
                <w:tab w:val="left" w:pos="580"/>
              </w:tabs>
              <w:autoSpaceDE w:val="0"/>
              <w:autoSpaceDN w:val="0"/>
              <w:adjustRightInd w:val="0"/>
              <w:snapToGrid w:val="0"/>
              <w:jc w:val="center"/>
              <w:rPr>
                <w:rFonts w:hint="eastAsia" w:ascii="宋体" w:hAnsi="宋体" w:cs="宋体" w:eastAsiaTheme="minorEastAsia"/>
                <w:color w:val="auto"/>
                <w:kern w:val="0"/>
                <w:sz w:val="24"/>
                <w:lang w:eastAsia="zh-CN"/>
              </w:rPr>
            </w:pPr>
            <w:r>
              <w:rPr>
                <w:rFonts w:hint="eastAsia" w:ascii="宋体" w:hAnsi="宋体" w:cs="宋体"/>
                <w:color w:val="auto"/>
                <w:kern w:val="0"/>
                <w:sz w:val="24"/>
                <w:lang w:eastAsia="zh-CN"/>
              </w:rPr>
              <w:t>武警夏县中队队长</w:t>
            </w:r>
          </w:p>
        </w:tc>
        <w:tc>
          <w:tcPr>
            <w:tcW w:w="10007" w:type="dxa"/>
            <w:vMerge w:val="continue"/>
            <w:vAlign w:val="center"/>
          </w:tcPr>
          <w:p>
            <w:pPr>
              <w:tabs>
                <w:tab w:val="left" w:pos="580"/>
              </w:tabs>
              <w:autoSpaceDE w:val="0"/>
              <w:autoSpaceDN w:val="0"/>
              <w:adjustRightInd w:val="0"/>
              <w:snapToGrid w:val="0"/>
              <w:jc w:val="center"/>
              <w:rPr>
                <w:rFonts w:hint="eastAsia" w:ascii="宋体" w:hAnsi="宋体" w:cs="宋体"/>
                <w:color w:val="auto"/>
                <w:kern w:val="0"/>
                <w:sz w:val="24"/>
              </w:rPr>
            </w:pPr>
          </w:p>
        </w:tc>
      </w:tr>
    </w:tbl>
    <w:p>
      <w:pPr>
        <w:rPr>
          <w:color w:val="auto"/>
        </w:rPr>
      </w:pPr>
    </w:p>
    <w:p>
      <w:pPr>
        <w:rPr>
          <w:color w:val="auto"/>
        </w:rPr>
      </w:pPr>
    </w:p>
    <w:tbl>
      <w:tblPr>
        <w:tblStyle w:val="7"/>
        <w:tblW w:w="133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2"/>
        <w:gridCol w:w="2747"/>
        <w:gridCol w:w="10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blHeader/>
          <w:jc w:val="center"/>
        </w:trPr>
        <w:tc>
          <w:tcPr>
            <w:tcW w:w="3339" w:type="dxa"/>
            <w:gridSpan w:val="2"/>
            <w:vAlign w:val="center"/>
          </w:tcPr>
          <w:p>
            <w:pPr>
              <w:tabs>
                <w:tab w:val="left" w:pos="580"/>
              </w:tabs>
              <w:autoSpaceDE w:val="0"/>
              <w:autoSpaceDN w:val="0"/>
              <w:adjustRightInd w:val="0"/>
              <w:snapToGrid w:val="0"/>
              <w:jc w:val="center"/>
              <w:rPr>
                <w:rFonts w:hint="eastAsia" w:ascii="黑体" w:hAnsi="黑体" w:eastAsia="黑体" w:cs="黑体"/>
                <w:color w:val="auto"/>
                <w:kern w:val="0"/>
                <w:sz w:val="24"/>
              </w:rPr>
            </w:pPr>
            <w:r>
              <w:rPr>
                <w:rFonts w:hint="eastAsia" w:ascii="黑体" w:hAnsi="黑体" w:eastAsia="黑体" w:cs="黑体"/>
                <w:color w:val="auto"/>
                <w:kern w:val="0"/>
                <w:sz w:val="24"/>
              </w:rPr>
              <w:t>指挥机构组成</w:t>
            </w:r>
          </w:p>
        </w:tc>
        <w:tc>
          <w:tcPr>
            <w:tcW w:w="10000" w:type="dxa"/>
            <w:vAlign w:val="center"/>
          </w:tcPr>
          <w:p>
            <w:pPr>
              <w:tabs>
                <w:tab w:val="left" w:pos="580"/>
              </w:tabs>
              <w:autoSpaceDE w:val="0"/>
              <w:autoSpaceDN w:val="0"/>
              <w:adjustRightInd w:val="0"/>
              <w:snapToGrid w:val="0"/>
              <w:jc w:val="center"/>
              <w:rPr>
                <w:rFonts w:hint="eastAsia" w:ascii="黑体" w:hAnsi="黑体" w:eastAsia="黑体" w:cs="黑体"/>
                <w:color w:val="auto"/>
                <w:kern w:val="0"/>
                <w:sz w:val="24"/>
              </w:rPr>
            </w:pPr>
            <w:r>
              <w:rPr>
                <w:rFonts w:hint="eastAsia" w:ascii="黑体" w:hAnsi="黑体" w:eastAsia="黑体" w:cs="黑体"/>
                <w:color w:val="auto"/>
                <w:kern w:val="0"/>
                <w:sz w:val="24"/>
              </w:rPr>
              <w:t>主  要  职  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8" w:hRule="atLeast"/>
          <w:jc w:val="center"/>
        </w:trPr>
        <w:tc>
          <w:tcPr>
            <w:tcW w:w="592" w:type="dxa"/>
            <w:vMerge w:val="restart"/>
            <w:vAlign w:val="center"/>
          </w:tcPr>
          <w:p>
            <w:pPr>
              <w:tabs>
                <w:tab w:val="left" w:pos="580"/>
              </w:tabs>
              <w:autoSpaceDE w:val="0"/>
              <w:autoSpaceDN w:val="0"/>
              <w:adjustRightInd w:val="0"/>
              <w:snapToGrid w:val="0"/>
              <w:jc w:val="center"/>
              <w:rPr>
                <w:rFonts w:hint="eastAsia" w:ascii="宋体" w:hAnsi="宋体" w:cs="宋体"/>
                <w:color w:val="auto"/>
                <w:kern w:val="0"/>
                <w:sz w:val="24"/>
              </w:rPr>
            </w:pPr>
            <w:r>
              <w:rPr>
                <w:rFonts w:hint="eastAsia" w:ascii="宋体" w:hAnsi="宋体" w:cs="宋体"/>
                <w:b/>
                <w:bCs/>
                <w:color w:val="auto"/>
                <w:kern w:val="0"/>
                <w:sz w:val="24"/>
              </w:rPr>
              <w:t>成员单位</w:t>
            </w:r>
          </w:p>
        </w:tc>
        <w:tc>
          <w:tcPr>
            <w:tcW w:w="2747" w:type="dxa"/>
            <w:vAlign w:val="center"/>
          </w:tcPr>
          <w:p>
            <w:pPr>
              <w:adjustRightInd w:val="0"/>
              <w:snapToGrid w:val="0"/>
              <w:jc w:val="center"/>
              <w:rPr>
                <w:rFonts w:hint="eastAsia" w:ascii="宋体" w:hAnsi="宋体" w:cs="宋体"/>
                <w:color w:val="auto"/>
                <w:kern w:val="0"/>
                <w:sz w:val="24"/>
              </w:rPr>
            </w:pPr>
            <w:r>
              <w:rPr>
                <w:rFonts w:hint="eastAsia" w:ascii="宋体" w:hAnsi="宋体" w:cs="宋体"/>
                <w:color w:val="auto"/>
                <w:sz w:val="24"/>
                <w:lang w:eastAsia="zh-CN"/>
              </w:rPr>
              <w:t>县</w:t>
            </w:r>
            <w:r>
              <w:rPr>
                <w:rFonts w:hint="eastAsia" w:ascii="宋体" w:hAnsi="宋体" w:cs="宋体"/>
                <w:color w:val="auto"/>
                <w:sz w:val="24"/>
              </w:rPr>
              <w:t>委宣传部</w:t>
            </w:r>
          </w:p>
        </w:tc>
        <w:tc>
          <w:tcPr>
            <w:tcW w:w="10000" w:type="dxa"/>
            <w:vAlign w:val="center"/>
          </w:tcPr>
          <w:p>
            <w:pPr>
              <w:adjustRightInd w:val="0"/>
              <w:snapToGrid w:val="0"/>
              <w:ind w:firstLine="480" w:firstLineChars="200"/>
              <w:rPr>
                <w:rFonts w:hint="eastAsia" w:ascii="宋体" w:hAnsi="宋体" w:cs="宋体"/>
                <w:color w:val="auto"/>
                <w:kern w:val="0"/>
                <w:sz w:val="24"/>
              </w:rPr>
            </w:pPr>
            <w:r>
              <w:rPr>
                <w:rFonts w:hint="eastAsia" w:ascii="宋体" w:hAnsi="宋体" w:cs="宋体"/>
                <w:color w:val="auto"/>
                <w:sz w:val="24"/>
              </w:rPr>
              <w:t>根据</w:t>
            </w:r>
            <w:r>
              <w:rPr>
                <w:rFonts w:hint="eastAsia" w:ascii="宋体" w:hAnsi="宋体" w:cs="宋体"/>
                <w:color w:val="auto"/>
                <w:sz w:val="24"/>
                <w:lang w:eastAsia="zh-CN"/>
              </w:rPr>
              <w:t>县</w:t>
            </w:r>
            <w:r>
              <w:rPr>
                <w:rFonts w:hint="eastAsia" w:ascii="宋体" w:hAnsi="宋体" w:cs="宋体"/>
                <w:color w:val="auto"/>
                <w:sz w:val="24"/>
              </w:rPr>
              <w:t>指挥部的统一部署，组织协调新闻媒体开展应急新闻报道，积极引导舆论。负责指导各有关部门主动开展自身工作领域的舆情监测工作，指导涉事地方部门及时正面发声、回应网民关切、引导网上舆论。组织各新闻网站推送</w:t>
            </w:r>
            <w:r>
              <w:rPr>
                <w:rFonts w:hint="eastAsia" w:ascii="宋体" w:hAnsi="宋体" w:cs="宋体"/>
                <w:color w:val="auto"/>
                <w:sz w:val="24"/>
                <w:lang w:eastAsia="zh-CN"/>
              </w:rPr>
              <w:t>县</w:t>
            </w:r>
            <w:r>
              <w:rPr>
                <w:rFonts w:hint="eastAsia" w:ascii="宋体" w:hAnsi="宋体" w:cs="宋体"/>
                <w:color w:val="auto"/>
                <w:sz w:val="24"/>
              </w:rPr>
              <w:t>指挥部及有关部门授权发布的突发公共卫生事件信息、应急处置宣传报道和防病知识。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592" w:type="dxa"/>
            <w:vMerge w:val="continue"/>
            <w:vAlign w:val="center"/>
          </w:tcPr>
          <w:p>
            <w:pPr>
              <w:tabs>
                <w:tab w:val="left" w:pos="580"/>
              </w:tabs>
              <w:autoSpaceDE w:val="0"/>
              <w:autoSpaceDN w:val="0"/>
              <w:adjustRightInd w:val="0"/>
              <w:snapToGrid w:val="0"/>
              <w:jc w:val="center"/>
              <w:rPr>
                <w:rFonts w:hint="eastAsia" w:ascii="宋体" w:hAnsi="宋体" w:cs="宋体"/>
                <w:color w:val="auto"/>
                <w:kern w:val="0"/>
                <w:sz w:val="24"/>
              </w:rPr>
            </w:pPr>
          </w:p>
        </w:tc>
        <w:tc>
          <w:tcPr>
            <w:tcW w:w="2747" w:type="dxa"/>
            <w:vAlign w:val="center"/>
          </w:tcPr>
          <w:p>
            <w:pPr>
              <w:adjustRightInd w:val="0"/>
              <w:snapToGrid w:val="0"/>
              <w:jc w:val="center"/>
              <w:rPr>
                <w:rFonts w:hint="eastAsia" w:ascii="宋体" w:hAnsi="宋体" w:cs="宋体"/>
                <w:color w:val="auto"/>
                <w:kern w:val="0"/>
                <w:sz w:val="24"/>
              </w:rPr>
            </w:pPr>
            <w:r>
              <w:rPr>
                <w:rFonts w:hint="eastAsia" w:ascii="宋体" w:hAnsi="宋体" w:cs="宋体"/>
                <w:color w:val="auto"/>
                <w:sz w:val="24"/>
                <w:lang w:eastAsia="zh-CN"/>
              </w:rPr>
              <w:t>县</w:t>
            </w:r>
            <w:r>
              <w:rPr>
                <w:rFonts w:hint="eastAsia" w:ascii="宋体" w:hAnsi="宋体" w:cs="宋体"/>
                <w:color w:val="auto"/>
                <w:sz w:val="24"/>
              </w:rPr>
              <w:t>委统战部</w:t>
            </w:r>
          </w:p>
        </w:tc>
        <w:tc>
          <w:tcPr>
            <w:tcW w:w="10000" w:type="dxa"/>
            <w:vAlign w:val="center"/>
          </w:tcPr>
          <w:p>
            <w:pPr>
              <w:adjustRightInd w:val="0"/>
              <w:snapToGrid w:val="0"/>
              <w:ind w:firstLine="480" w:firstLineChars="200"/>
              <w:rPr>
                <w:rFonts w:hint="eastAsia" w:ascii="宋体" w:hAnsi="宋体" w:cs="宋体"/>
                <w:color w:val="auto"/>
                <w:kern w:val="0"/>
                <w:sz w:val="24"/>
              </w:rPr>
            </w:pPr>
            <w:r>
              <w:rPr>
                <w:rFonts w:hint="eastAsia" w:ascii="宋体" w:hAnsi="宋体" w:cs="宋体"/>
                <w:color w:val="auto"/>
                <w:sz w:val="24"/>
              </w:rPr>
              <w:t>负责组织协调参加进出境活动的相关人士的健康监测及管理，配合开展相关病例、疑似病例和密切接触者的联络、追踪、管理，互通和会商研判相关信息。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592" w:type="dxa"/>
            <w:vMerge w:val="continue"/>
            <w:vAlign w:val="center"/>
          </w:tcPr>
          <w:p>
            <w:pPr>
              <w:tabs>
                <w:tab w:val="left" w:pos="580"/>
              </w:tabs>
              <w:autoSpaceDE w:val="0"/>
              <w:autoSpaceDN w:val="0"/>
              <w:adjustRightInd w:val="0"/>
              <w:snapToGrid w:val="0"/>
              <w:jc w:val="center"/>
              <w:rPr>
                <w:rFonts w:hint="eastAsia" w:ascii="宋体" w:hAnsi="宋体" w:cs="宋体"/>
                <w:color w:val="auto"/>
                <w:kern w:val="0"/>
                <w:sz w:val="24"/>
              </w:rPr>
            </w:pPr>
          </w:p>
        </w:tc>
        <w:tc>
          <w:tcPr>
            <w:tcW w:w="2747" w:type="dxa"/>
            <w:vAlign w:val="center"/>
          </w:tcPr>
          <w:p>
            <w:pPr>
              <w:adjustRightInd w:val="0"/>
              <w:snapToGrid w:val="0"/>
              <w:jc w:val="center"/>
              <w:rPr>
                <w:rFonts w:hint="default" w:ascii="宋体" w:hAnsi="宋体" w:cs="宋体" w:eastAsiaTheme="minorEastAsia"/>
                <w:color w:val="auto"/>
                <w:kern w:val="0"/>
                <w:sz w:val="24"/>
                <w:szCs w:val="24"/>
                <w:lang w:val="en-US" w:eastAsia="zh-CN" w:bidi="ar-SA"/>
              </w:rPr>
            </w:pPr>
            <w:r>
              <w:rPr>
                <w:rFonts w:hint="eastAsia" w:ascii="宋体" w:hAnsi="宋体" w:cs="宋体"/>
                <w:color w:val="auto"/>
                <w:sz w:val="24"/>
                <w:lang w:eastAsia="zh-CN"/>
              </w:rPr>
              <w:t>县</w:t>
            </w:r>
            <w:r>
              <w:rPr>
                <w:rFonts w:hint="eastAsia" w:ascii="宋体" w:hAnsi="宋体" w:cs="宋体"/>
                <w:color w:val="auto"/>
                <w:sz w:val="24"/>
              </w:rPr>
              <w:t>发改</w:t>
            </w:r>
            <w:r>
              <w:rPr>
                <w:rFonts w:hint="eastAsia" w:ascii="宋体" w:hAnsi="宋体" w:cs="宋体"/>
                <w:color w:val="auto"/>
                <w:sz w:val="24"/>
                <w:lang w:eastAsia="zh-CN"/>
              </w:rPr>
              <w:t>局</w:t>
            </w:r>
          </w:p>
        </w:tc>
        <w:tc>
          <w:tcPr>
            <w:tcW w:w="10000" w:type="dxa"/>
            <w:vAlign w:val="center"/>
          </w:tcPr>
          <w:p>
            <w:pPr>
              <w:adjustRightInd w:val="0"/>
              <w:snapToGrid w:val="0"/>
              <w:ind w:firstLine="480" w:firstLineChars="200"/>
              <w:rPr>
                <w:rFonts w:hint="default" w:ascii="宋体" w:hAnsi="宋体" w:cs="宋体" w:eastAsiaTheme="minorEastAsia"/>
                <w:color w:val="auto"/>
                <w:kern w:val="0"/>
                <w:sz w:val="24"/>
                <w:szCs w:val="24"/>
                <w:lang w:val="en-US" w:eastAsia="zh-CN" w:bidi="ar-SA"/>
              </w:rPr>
            </w:pPr>
            <w:r>
              <w:rPr>
                <w:rFonts w:hint="eastAsia" w:ascii="宋体" w:hAnsi="宋体" w:cs="宋体"/>
                <w:color w:val="auto"/>
                <w:sz w:val="24"/>
              </w:rPr>
              <w:t>执行</w:t>
            </w:r>
            <w:r>
              <w:rPr>
                <w:rFonts w:hint="eastAsia" w:ascii="宋体" w:hAnsi="宋体" w:cs="宋体"/>
                <w:color w:val="auto"/>
                <w:sz w:val="24"/>
                <w:lang w:eastAsia="zh-CN"/>
              </w:rPr>
              <w:t>县</w:t>
            </w:r>
            <w:r>
              <w:rPr>
                <w:rFonts w:hint="eastAsia" w:ascii="宋体" w:hAnsi="宋体" w:cs="宋体"/>
                <w:color w:val="auto"/>
                <w:sz w:val="24"/>
                <w:lang w:val="en-US" w:eastAsia="zh-CN"/>
              </w:rPr>
              <w:t>指挥部</w:t>
            </w:r>
            <w:r>
              <w:rPr>
                <w:rFonts w:hint="eastAsia" w:ascii="宋体" w:hAnsi="宋体" w:cs="宋体"/>
                <w:color w:val="auto"/>
                <w:sz w:val="24"/>
              </w:rPr>
              <w:t>下达的动用重要物资和应急储备物资命令。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592" w:type="dxa"/>
            <w:vMerge w:val="continue"/>
            <w:vAlign w:val="center"/>
          </w:tcPr>
          <w:p>
            <w:pPr>
              <w:tabs>
                <w:tab w:val="left" w:pos="580"/>
              </w:tabs>
              <w:autoSpaceDE w:val="0"/>
              <w:autoSpaceDN w:val="0"/>
              <w:adjustRightInd w:val="0"/>
              <w:snapToGrid w:val="0"/>
              <w:jc w:val="center"/>
              <w:rPr>
                <w:rFonts w:hint="eastAsia" w:ascii="宋体" w:hAnsi="宋体" w:cs="宋体"/>
                <w:color w:val="auto"/>
                <w:kern w:val="0"/>
                <w:sz w:val="24"/>
              </w:rPr>
            </w:pPr>
          </w:p>
        </w:tc>
        <w:tc>
          <w:tcPr>
            <w:tcW w:w="2747" w:type="dxa"/>
            <w:vAlign w:val="center"/>
          </w:tcPr>
          <w:p>
            <w:pPr>
              <w:adjustRightInd w:val="0"/>
              <w:snapToGrid w:val="0"/>
              <w:jc w:val="center"/>
              <w:rPr>
                <w:rFonts w:hint="eastAsia" w:ascii="宋体" w:hAnsi="宋体" w:cs="宋体"/>
                <w:color w:val="auto"/>
                <w:sz w:val="24"/>
                <w:lang w:eastAsia="zh-CN"/>
              </w:rPr>
            </w:pPr>
            <w:r>
              <w:rPr>
                <w:rFonts w:hint="eastAsia" w:ascii="宋体" w:hAnsi="宋体" w:cs="宋体"/>
                <w:color w:val="auto"/>
                <w:sz w:val="24"/>
                <w:lang w:eastAsia="zh-CN"/>
              </w:rPr>
              <w:t>县</w:t>
            </w:r>
            <w:r>
              <w:rPr>
                <w:rFonts w:hint="eastAsia" w:ascii="宋体" w:hAnsi="宋体" w:cs="宋体"/>
                <w:color w:val="auto"/>
                <w:sz w:val="24"/>
              </w:rPr>
              <w:t>财政局</w:t>
            </w:r>
          </w:p>
        </w:tc>
        <w:tc>
          <w:tcPr>
            <w:tcW w:w="10000" w:type="dxa"/>
            <w:vAlign w:val="center"/>
          </w:tcPr>
          <w:p>
            <w:pPr>
              <w:adjustRightInd w:val="0"/>
              <w:snapToGrid w:val="0"/>
              <w:ind w:firstLine="480" w:firstLineChars="200"/>
              <w:rPr>
                <w:rFonts w:hint="eastAsia" w:ascii="宋体" w:hAnsi="宋体" w:cs="宋体"/>
                <w:color w:val="auto"/>
                <w:sz w:val="24"/>
              </w:rPr>
            </w:pPr>
            <w:r>
              <w:rPr>
                <w:rFonts w:hint="eastAsia" w:ascii="宋体" w:hAnsi="宋体" w:cs="宋体"/>
                <w:color w:val="auto"/>
                <w:sz w:val="24"/>
              </w:rPr>
              <w:t>负责安排突发公共卫生事件处置所需经费，加强对经费的监督管理。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3" w:hRule="atLeast"/>
          <w:jc w:val="center"/>
        </w:trPr>
        <w:tc>
          <w:tcPr>
            <w:tcW w:w="592" w:type="dxa"/>
            <w:vMerge w:val="continue"/>
            <w:vAlign w:val="center"/>
          </w:tcPr>
          <w:p>
            <w:pPr>
              <w:tabs>
                <w:tab w:val="left" w:pos="580"/>
              </w:tabs>
              <w:autoSpaceDE w:val="0"/>
              <w:autoSpaceDN w:val="0"/>
              <w:adjustRightInd w:val="0"/>
              <w:snapToGrid w:val="0"/>
              <w:jc w:val="center"/>
              <w:rPr>
                <w:rFonts w:hint="eastAsia" w:ascii="宋体" w:hAnsi="宋体" w:cs="宋体"/>
                <w:color w:val="auto"/>
                <w:kern w:val="0"/>
                <w:sz w:val="24"/>
              </w:rPr>
            </w:pPr>
          </w:p>
        </w:tc>
        <w:tc>
          <w:tcPr>
            <w:tcW w:w="2747" w:type="dxa"/>
            <w:vAlign w:val="center"/>
          </w:tcPr>
          <w:p>
            <w:pPr>
              <w:adjustRightInd w:val="0"/>
              <w:snapToGrid w:val="0"/>
              <w:jc w:val="center"/>
              <w:rPr>
                <w:rFonts w:hint="eastAsia" w:ascii="宋体" w:hAnsi="宋体" w:cs="宋体" w:eastAsiaTheme="minorEastAsia"/>
                <w:color w:val="auto"/>
                <w:kern w:val="0"/>
                <w:sz w:val="24"/>
                <w:szCs w:val="24"/>
                <w:highlight w:val="red"/>
                <w:lang w:val="en-US" w:eastAsia="zh-CN" w:bidi="ar-SA"/>
              </w:rPr>
            </w:pPr>
            <w:r>
              <w:rPr>
                <w:rFonts w:hint="eastAsia" w:ascii="宋体" w:hAnsi="宋体" w:cs="宋体"/>
                <w:color w:val="auto"/>
                <w:sz w:val="24"/>
                <w:lang w:eastAsia="zh-CN"/>
              </w:rPr>
              <w:t>县</w:t>
            </w:r>
            <w:r>
              <w:rPr>
                <w:rFonts w:hint="eastAsia" w:ascii="宋体" w:hAnsi="宋体" w:cs="宋体"/>
                <w:color w:val="auto"/>
                <w:sz w:val="24"/>
              </w:rPr>
              <w:t>教育局</w:t>
            </w:r>
          </w:p>
        </w:tc>
        <w:tc>
          <w:tcPr>
            <w:tcW w:w="10000" w:type="dxa"/>
            <w:vAlign w:val="center"/>
          </w:tcPr>
          <w:p>
            <w:pPr>
              <w:adjustRightInd w:val="0"/>
              <w:snapToGrid w:val="0"/>
              <w:ind w:firstLine="480" w:firstLineChars="200"/>
              <w:rPr>
                <w:rFonts w:hint="eastAsia" w:ascii="宋体" w:hAnsi="宋体" w:cs="宋体" w:eastAsiaTheme="minorEastAsia"/>
                <w:color w:val="auto"/>
                <w:kern w:val="0"/>
                <w:sz w:val="24"/>
                <w:szCs w:val="24"/>
                <w:highlight w:val="red"/>
                <w:lang w:val="en-US" w:eastAsia="zh-CN" w:bidi="ar-SA"/>
              </w:rPr>
            </w:pPr>
            <w:r>
              <w:rPr>
                <w:rFonts w:hint="eastAsia" w:ascii="宋体" w:hAnsi="宋体" w:cs="宋体"/>
                <w:color w:val="auto"/>
                <w:sz w:val="24"/>
              </w:rPr>
              <w:t>负责督促学校落实防控工作主体责任，强化宣传教育；在传染病疫情等突发公共卫生事件发生时，督促学校在疾病预防控制机构的指导下做好紧急应对及处置工作，互通和会商研判相关信息。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592" w:type="dxa"/>
            <w:vMerge w:val="continue"/>
            <w:vAlign w:val="center"/>
          </w:tcPr>
          <w:p>
            <w:pPr>
              <w:tabs>
                <w:tab w:val="left" w:pos="580"/>
              </w:tabs>
              <w:autoSpaceDE w:val="0"/>
              <w:autoSpaceDN w:val="0"/>
              <w:adjustRightInd w:val="0"/>
              <w:snapToGrid w:val="0"/>
              <w:jc w:val="center"/>
              <w:rPr>
                <w:rFonts w:hint="eastAsia" w:ascii="宋体" w:hAnsi="宋体" w:cs="宋体"/>
                <w:color w:val="auto"/>
                <w:kern w:val="0"/>
                <w:sz w:val="24"/>
              </w:rPr>
            </w:pPr>
          </w:p>
        </w:tc>
        <w:tc>
          <w:tcPr>
            <w:tcW w:w="2747" w:type="dxa"/>
            <w:vAlign w:val="center"/>
          </w:tcPr>
          <w:p>
            <w:pPr>
              <w:adjustRightInd w:val="0"/>
              <w:snapToGrid w:val="0"/>
              <w:jc w:val="center"/>
              <w:rPr>
                <w:rFonts w:hint="eastAsia" w:ascii="宋体" w:hAnsi="宋体" w:cs="宋体" w:eastAsiaTheme="minorEastAsia"/>
                <w:color w:val="auto"/>
                <w:kern w:val="0"/>
                <w:sz w:val="24"/>
                <w:szCs w:val="24"/>
                <w:highlight w:val="none"/>
                <w:lang w:val="en-US" w:eastAsia="zh-CN" w:bidi="ar-SA"/>
              </w:rPr>
            </w:pPr>
            <w:r>
              <w:rPr>
                <w:rFonts w:hint="eastAsia" w:ascii="宋体" w:hAnsi="宋体" w:cs="宋体"/>
                <w:color w:val="auto"/>
                <w:sz w:val="24"/>
                <w:highlight w:val="none"/>
                <w:lang w:eastAsia="zh-CN"/>
              </w:rPr>
              <w:t>县工信科</w:t>
            </w:r>
            <w:r>
              <w:rPr>
                <w:rFonts w:hint="eastAsia" w:ascii="宋体" w:hAnsi="宋体" w:cs="宋体"/>
                <w:color w:val="auto"/>
                <w:sz w:val="24"/>
                <w:highlight w:val="none"/>
              </w:rPr>
              <w:t>局</w:t>
            </w:r>
          </w:p>
        </w:tc>
        <w:tc>
          <w:tcPr>
            <w:tcW w:w="10000" w:type="dxa"/>
            <w:vAlign w:val="center"/>
          </w:tcPr>
          <w:p>
            <w:pPr>
              <w:adjustRightInd w:val="0"/>
              <w:snapToGrid w:val="0"/>
              <w:ind w:firstLine="480" w:firstLineChars="200"/>
              <w:rPr>
                <w:rFonts w:hint="eastAsia" w:ascii="宋体" w:hAnsi="宋体" w:cs="宋体" w:eastAsiaTheme="minorEastAsia"/>
                <w:color w:val="auto"/>
                <w:kern w:val="0"/>
                <w:sz w:val="24"/>
                <w:szCs w:val="24"/>
                <w:highlight w:val="none"/>
                <w:lang w:val="en-US" w:eastAsia="zh-CN" w:bidi="ar-SA"/>
              </w:rPr>
            </w:pPr>
            <w:r>
              <w:rPr>
                <w:rFonts w:hint="eastAsia" w:ascii="宋体" w:hAnsi="宋体" w:cs="宋体"/>
                <w:color w:val="auto"/>
                <w:sz w:val="24"/>
                <w:highlight w:val="none"/>
              </w:rPr>
              <w:t>负责</w:t>
            </w:r>
            <w:r>
              <w:rPr>
                <w:rFonts w:hint="eastAsia" w:ascii="宋体" w:hAnsi="宋体" w:cs="宋体"/>
                <w:color w:val="auto"/>
                <w:sz w:val="24"/>
                <w:highlight w:val="none"/>
                <w:lang w:eastAsia="zh-CN"/>
              </w:rPr>
              <w:t>县</w:t>
            </w:r>
            <w:r>
              <w:rPr>
                <w:rFonts w:hint="eastAsia" w:ascii="宋体" w:hAnsi="宋体" w:cs="宋体"/>
                <w:color w:val="auto"/>
                <w:sz w:val="24"/>
                <w:highlight w:val="none"/>
              </w:rPr>
              <w:t>级医药物资</w:t>
            </w:r>
            <w:r>
              <w:rPr>
                <w:rFonts w:hint="eastAsia" w:ascii="宋体" w:hAnsi="宋体" w:cs="宋体"/>
                <w:color w:val="auto"/>
                <w:sz w:val="24"/>
                <w:highlight w:val="none"/>
                <w:lang w:val="en-US" w:eastAsia="zh-CN"/>
              </w:rPr>
              <w:t>和生活物资</w:t>
            </w:r>
            <w:r>
              <w:rPr>
                <w:rFonts w:hint="eastAsia" w:ascii="宋体" w:hAnsi="宋体" w:cs="宋体"/>
                <w:color w:val="auto"/>
                <w:sz w:val="24"/>
                <w:highlight w:val="none"/>
              </w:rPr>
              <w:t>储备应急调拨</w:t>
            </w:r>
            <w:r>
              <w:rPr>
                <w:rFonts w:hint="eastAsia" w:ascii="宋体" w:hAnsi="宋体" w:cs="宋体"/>
                <w:color w:val="auto"/>
                <w:sz w:val="24"/>
                <w:highlight w:val="none"/>
                <w:lang w:val="en-US" w:eastAsia="zh-CN"/>
              </w:rPr>
              <w:t>,组织协调电信运营企业做好应急通讯保障工作,负责商场、超市、餐饮行业的监管。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4" w:hRule="atLeast"/>
          <w:jc w:val="center"/>
        </w:trPr>
        <w:tc>
          <w:tcPr>
            <w:tcW w:w="592" w:type="dxa"/>
            <w:vMerge w:val="continue"/>
            <w:vAlign w:val="center"/>
          </w:tcPr>
          <w:p>
            <w:pPr>
              <w:tabs>
                <w:tab w:val="left" w:pos="580"/>
              </w:tabs>
              <w:autoSpaceDE w:val="0"/>
              <w:autoSpaceDN w:val="0"/>
              <w:adjustRightInd w:val="0"/>
              <w:snapToGrid w:val="0"/>
              <w:jc w:val="center"/>
              <w:rPr>
                <w:rFonts w:hint="eastAsia" w:ascii="宋体" w:hAnsi="宋体" w:cs="宋体"/>
                <w:color w:val="auto"/>
                <w:kern w:val="0"/>
                <w:sz w:val="24"/>
              </w:rPr>
            </w:pPr>
          </w:p>
        </w:tc>
        <w:tc>
          <w:tcPr>
            <w:tcW w:w="2747" w:type="dxa"/>
            <w:vAlign w:val="center"/>
          </w:tcPr>
          <w:p>
            <w:pPr>
              <w:adjustRightInd w:val="0"/>
              <w:snapToGrid w:val="0"/>
              <w:jc w:val="center"/>
              <w:rPr>
                <w:rFonts w:hint="eastAsia" w:ascii="宋体" w:hAnsi="宋体" w:cs="宋体" w:eastAsiaTheme="minorEastAsia"/>
                <w:color w:val="auto"/>
                <w:kern w:val="0"/>
                <w:sz w:val="24"/>
                <w:szCs w:val="24"/>
                <w:lang w:val="en-US" w:eastAsia="zh-CN" w:bidi="ar-SA"/>
              </w:rPr>
            </w:pPr>
            <w:r>
              <w:rPr>
                <w:rFonts w:hint="eastAsia" w:ascii="宋体" w:hAnsi="宋体" w:cs="宋体"/>
                <w:color w:val="auto"/>
                <w:sz w:val="24"/>
                <w:lang w:eastAsia="zh-CN"/>
              </w:rPr>
              <w:t>县</w:t>
            </w:r>
            <w:r>
              <w:rPr>
                <w:rFonts w:hint="eastAsia" w:ascii="宋体" w:hAnsi="宋体" w:cs="宋体"/>
                <w:color w:val="auto"/>
                <w:sz w:val="24"/>
              </w:rPr>
              <w:t>公安局</w:t>
            </w:r>
          </w:p>
        </w:tc>
        <w:tc>
          <w:tcPr>
            <w:tcW w:w="10000" w:type="dxa"/>
            <w:vAlign w:val="center"/>
          </w:tcPr>
          <w:p>
            <w:pPr>
              <w:ind w:firstLine="480" w:firstLineChars="200"/>
              <w:rPr>
                <w:rFonts w:hint="eastAsia" w:ascii="宋体" w:hAnsi="宋体" w:cs="宋体" w:eastAsiaTheme="minorEastAsia"/>
                <w:color w:val="auto"/>
                <w:kern w:val="0"/>
                <w:sz w:val="24"/>
                <w:szCs w:val="24"/>
                <w:lang w:val="en-US" w:eastAsia="zh-CN" w:bidi="ar-SA"/>
              </w:rPr>
            </w:pPr>
            <w:r>
              <w:rPr>
                <w:rFonts w:hint="eastAsia" w:ascii="宋体" w:hAnsi="宋体" w:cs="宋体"/>
                <w:color w:val="auto"/>
                <w:sz w:val="24"/>
              </w:rPr>
              <w:t>负责密切关注突发公共卫生事件有关社会动态，依法、及时、妥善处置各类相关治安事件，严厉打击相关违法犯罪活动，维护社会治安秩序；与卫健部门共同开展流行病学调查，协助卫健部门依法实施强制隔离措施，必要时协助进行密切接触者追踪</w:t>
            </w:r>
            <w:r>
              <w:rPr>
                <w:rFonts w:hint="eastAsia" w:ascii="宋体" w:hAnsi="宋体" w:cs="宋体"/>
                <w:color w:val="auto"/>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592" w:type="dxa"/>
            <w:vMerge w:val="continue"/>
            <w:vAlign w:val="center"/>
          </w:tcPr>
          <w:p>
            <w:pPr>
              <w:tabs>
                <w:tab w:val="left" w:pos="580"/>
              </w:tabs>
              <w:autoSpaceDE w:val="0"/>
              <w:autoSpaceDN w:val="0"/>
              <w:adjustRightInd w:val="0"/>
              <w:snapToGrid w:val="0"/>
              <w:jc w:val="center"/>
              <w:rPr>
                <w:rFonts w:hint="eastAsia" w:ascii="宋体" w:hAnsi="宋体" w:cs="宋体"/>
                <w:color w:val="auto"/>
                <w:kern w:val="0"/>
                <w:sz w:val="24"/>
              </w:rPr>
            </w:pPr>
          </w:p>
        </w:tc>
        <w:tc>
          <w:tcPr>
            <w:tcW w:w="2747" w:type="dxa"/>
            <w:vAlign w:val="center"/>
          </w:tcPr>
          <w:p>
            <w:pPr>
              <w:adjustRightInd w:val="0"/>
              <w:snapToGrid w:val="0"/>
              <w:jc w:val="center"/>
              <w:rPr>
                <w:rFonts w:hint="eastAsia" w:ascii="宋体" w:hAnsi="宋体" w:cs="宋体" w:eastAsiaTheme="minorEastAsia"/>
                <w:color w:val="auto"/>
                <w:kern w:val="0"/>
                <w:sz w:val="24"/>
                <w:szCs w:val="24"/>
                <w:lang w:val="en-US" w:eastAsia="zh-CN" w:bidi="ar-SA"/>
              </w:rPr>
            </w:pPr>
            <w:r>
              <w:rPr>
                <w:rFonts w:hint="eastAsia" w:ascii="宋体" w:hAnsi="宋体" w:cs="宋体"/>
                <w:color w:val="auto"/>
                <w:sz w:val="24"/>
                <w:lang w:eastAsia="zh-CN"/>
              </w:rPr>
              <w:t>县</w:t>
            </w:r>
            <w:r>
              <w:rPr>
                <w:rFonts w:hint="eastAsia" w:ascii="宋体" w:hAnsi="宋体" w:cs="宋体"/>
                <w:color w:val="auto"/>
                <w:sz w:val="24"/>
              </w:rPr>
              <w:t>民政局</w:t>
            </w:r>
          </w:p>
        </w:tc>
        <w:tc>
          <w:tcPr>
            <w:tcW w:w="10000" w:type="dxa"/>
            <w:vAlign w:val="center"/>
          </w:tcPr>
          <w:p>
            <w:pPr>
              <w:adjustRightInd w:val="0"/>
              <w:snapToGrid w:val="0"/>
              <w:ind w:firstLine="480" w:firstLineChars="200"/>
              <w:rPr>
                <w:rFonts w:hint="eastAsia" w:ascii="宋体" w:hAnsi="宋体" w:cs="宋体" w:eastAsiaTheme="minorEastAsia"/>
                <w:color w:val="auto"/>
                <w:kern w:val="0"/>
                <w:sz w:val="24"/>
                <w:szCs w:val="24"/>
                <w:lang w:val="en-US" w:eastAsia="zh-CN" w:bidi="ar-SA"/>
              </w:rPr>
            </w:pPr>
            <w:r>
              <w:rPr>
                <w:rFonts w:hint="eastAsia" w:ascii="宋体" w:hAnsi="宋体" w:cs="宋体"/>
                <w:color w:val="auto"/>
                <w:sz w:val="24"/>
              </w:rPr>
              <w:t>按照国家有关政策规定负责突发公共卫生事件死亡人员遗体火化工作</w:t>
            </w:r>
            <w:r>
              <w:rPr>
                <w:rFonts w:hint="eastAsia" w:ascii="宋体" w:hAnsi="宋体" w:cs="宋体"/>
                <w:color w:val="auto"/>
                <w:sz w:val="24"/>
                <w:lang w:eastAsia="zh-CN"/>
              </w:rPr>
              <w:t>；</w:t>
            </w:r>
            <w:r>
              <w:rPr>
                <w:rFonts w:hint="eastAsia" w:ascii="宋体" w:hAnsi="宋体" w:cs="宋体"/>
                <w:color w:val="auto"/>
                <w:sz w:val="24"/>
                <w:lang w:val="en-US" w:eastAsia="zh-CN"/>
              </w:rPr>
              <w:t>负责督促养老院、福利机构落实防控工作主体责任。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592" w:type="dxa"/>
            <w:vMerge w:val="continue"/>
            <w:vAlign w:val="center"/>
          </w:tcPr>
          <w:p>
            <w:pPr>
              <w:tabs>
                <w:tab w:val="left" w:pos="580"/>
              </w:tabs>
              <w:autoSpaceDE w:val="0"/>
              <w:autoSpaceDN w:val="0"/>
              <w:adjustRightInd w:val="0"/>
              <w:snapToGrid w:val="0"/>
              <w:jc w:val="center"/>
              <w:rPr>
                <w:rFonts w:hint="eastAsia" w:ascii="宋体" w:hAnsi="宋体" w:cs="宋体"/>
                <w:color w:val="auto"/>
                <w:kern w:val="0"/>
                <w:sz w:val="24"/>
              </w:rPr>
            </w:pPr>
          </w:p>
        </w:tc>
        <w:tc>
          <w:tcPr>
            <w:tcW w:w="2747" w:type="dxa"/>
            <w:vAlign w:val="center"/>
          </w:tcPr>
          <w:p>
            <w:pPr>
              <w:adjustRightInd w:val="0"/>
              <w:snapToGrid w:val="0"/>
              <w:jc w:val="center"/>
              <w:rPr>
                <w:rFonts w:hint="eastAsia" w:ascii="宋体" w:hAnsi="宋体" w:cs="宋体" w:eastAsiaTheme="minorEastAsia"/>
                <w:color w:val="auto"/>
                <w:kern w:val="2"/>
                <w:sz w:val="24"/>
                <w:szCs w:val="24"/>
                <w:lang w:val="en-US" w:eastAsia="zh-CN" w:bidi="ar-SA"/>
              </w:rPr>
            </w:pPr>
            <w:r>
              <w:rPr>
                <w:rFonts w:hint="eastAsia" w:ascii="宋体" w:hAnsi="宋体" w:cs="宋体"/>
                <w:color w:val="auto"/>
                <w:sz w:val="24"/>
                <w:lang w:eastAsia="zh-CN"/>
              </w:rPr>
              <w:t>县</w:t>
            </w:r>
            <w:r>
              <w:rPr>
                <w:rFonts w:hint="eastAsia" w:ascii="宋体" w:hAnsi="宋体" w:cs="宋体"/>
                <w:color w:val="auto"/>
                <w:sz w:val="24"/>
              </w:rPr>
              <w:t>司法局</w:t>
            </w:r>
          </w:p>
        </w:tc>
        <w:tc>
          <w:tcPr>
            <w:tcW w:w="10000" w:type="dxa"/>
            <w:vAlign w:val="center"/>
          </w:tcPr>
          <w:p>
            <w:pPr>
              <w:adjustRightInd w:val="0"/>
              <w:snapToGrid w:val="0"/>
              <w:ind w:firstLine="480" w:firstLineChars="200"/>
              <w:rPr>
                <w:rFonts w:hint="eastAsia" w:ascii="宋体" w:hAnsi="宋体" w:cs="宋体" w:eastAsiaTheme="minorEastAsia"/>
                <w:color w:val="auto"/>
                <w:kern w:val="2"/>
                <w:sz w:val="24"/>
                <w:szCs w:val="24"/>
                <w:lang w:val="en-US" w:eastAsia="zh-CN" w:bidi="ar-SA"/>
              </w:rPr>
            </w:pPr>
            <w:r>
              <w:rPr>
                <w:rFonts w:hint="eastAsia" w:ascii="宋体" w:hAnsi="宋体" w:cs="宋体"/>
                <w:color w:val="auto"/>
                <w:sz w:val="24"/>
              </w:rPr>
              <w:t>负责组织协调监狱、</w:t>
            </w:r>
            <w:r>
              <w:rPr>
                <w:rFonts w:hint="eastAsia" w:ascii="宋体" w:hAnsi="宋体" w:cs="宋体"/>
                <w:color w:val="auto"/>
                <w:sz w:val="24"/>
                <w:lang w:eastAsia="zh-CN"/>
              </w:rPr>
              <w:t>戒</w:t>
            </w:r>
            <w:r>
              <w:rPr>
                <w:rFonts w:hint="eastAsia" w:ascii="宋体" w:hAnsi="宋体" w:cs="宋体"/>
                <w:color w:val="auto"/>
                <w:sz w:val="24"/>
              </w:rPr>
              <w:t>毒场所和所属</w:t>
            </w:r>
            <w:r>
              <w:rPr>
                <w:rFonts w:hint="eastAsia" w:ascii="宋体" w:hAnsi="宋体" w:cs="宋体"/>
                <w:color w:val="auto"/>
                <w:sz w:val="24"/>
                <w:lang w:val="en-US" w:eastAsia="zh-CN"/>
              </w:rPr>
              <w:t>场所</w:t>
            </w:r>
            <w:r>
              <w:rPr>
                <w:rFonts w:hint="eastAsia" w:ascii="宋体" w:hAnsi="宋体" w:cs="宋体"/>
                <w:color w:val="auto"/>
                <w:sz w:val="24"/>
              </w:rPr>
              <w:t>突发公共卫生事件的预防和处置。</w:t>
            </w:r>
          </w:p>
        </w:tc>
      </w:tr>
    </w:tbl>
    <w:p>
      <w:pPr>
        <w:rPr>
          <w:color w:val="auto"/>
        </w:rPr>
      </w:pPr>
      <w:r>
        <w:rPr>
          <w:color w:val="auto"/>
        </w:rPr>
        <w:br w:type="page"/>
      </w:r>
    </w:p>
    <w:tbl>
      <w:tblPr>
        <w:tblStyle w:val="7"/>
        <w:tblW w:w="132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8"/>
        <w:gridCol w:w="2760"/>
        <w:gridCol w:w="9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blHeader/>
          <w:jc w:val="center"/>
        </w:trPr>
        <w:tc>
          <w:tcPr>
            <w:tcW w:w="3348" w:type="dxa"/>
            <w:gridSpan w:val="2"/>
            <w:vAlign w:val="center"/>
          </w:tcPr>
          <w:p>
            <w:pPr>
              <w:tabs>
                <w:tab w:val="left" w:pos="580"/>
              </w:tabs>
              <w:autoSpaceDE w:val="0"/>
              <w:autoSpaceDN w:val="0"/>
              <w:adjustRightInd w:val="0"/>
              <w:snapToGrid w:val="0"/>
              <w:jc w:val="center"/>
              <w:rPr>
                <w:rFonts w:hint="eastAsia" w:ascii="黑体" w:hAnsi="黑体" w:eastAsia="黑体" w:cs="黑体"/>
                <w:color w:val="auto"/>
                <w:kern w:val="0"/>
                <w:sz w:val="24"/>
              </w:rPr>
            </w:pPr>
            <w:r>
              <w:rPr>
                <w:rFonts w:hint="eastAsia" w:ascii="黑体" w:hAnsi="黑体" w:eastAsia="黑体" w:cs="黑体"/>
                <w:color w:val="auto"/>
                <w:kern w:val="0"/>
                <w:sz w:val="24"/>
              </w:rPr>
              <w:t>指挥机构组成</w:t>
            </w:r>
          </w:p>
        </w:tc>
        <w:tc>
          <w:tcPr>
            <w:tcW w:w="9951" w:type="dxa"/>
            <w:vAlign w:val="center"/>
          </w:tcPr>
          <w:p>
            <w:pPr>
              <w:tabs>
                <w:tab w:val="left" w:pos="580"/>
              </w:tabs>
              <w:autoSpaceDE w:val="0"/>
              <w:autoSpaceDN w:val="0"/>
              <w:adjustRightInd w:val="0"/>
              <w:snapToGrid w:val="0"/>
              <w:jc w:val="center"/>
              <w:rPr>
                <w:rFonts w:hint="eastAsia" w:ascii="黑体" w:hAnsi="黑体" w:eastAsia="黑体" w:cs="黑体"/>
                <w:color w:val="auto"/>
                <w:kern w:val="0"/>
                <w:sz w:val="24"/>
              </w:rPr>
            </w:pPr>
            <w:r>
              <w:rPr>
                <w:rFonts w:hint="eastAsia" w:ascii="黑体" w:hAnsi="黑体" w:eastAsia="黑体" w:cs="黑体"/>
                <w:color w:val="auto"/>
                <w:kern w:val="0"/>
                <w:sz w:val="24"/>
              </w:rPr>
              <w:t>主  要  职  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 w:hRule="atLeast"/>
          <w:jc w:val="center"/>
        </w:trPr>
        <w:tc>
          <w:tcPr>
            <w:tcW w:w="588" w:type="dxa"/>
            <w:vMerge w:val="restart"/>
            <w:vAlign w:val="center"/>
          </w:tcPr>
          <w:p>
            <w:pPr>
              <w:tabs>
                <w:tab w:val="left" w:pos="580"/>
              </w:tabs>
              <w:autoSpaceDE w:val="0"/>
              <w:autoSpaceDN w:val="0"/>
              <w:adjustRightInd w:val="0"/>
              <w:snapToGrid w:val="0"/>
              <w:jc w:val="center"/>
              <w:rPr>
                <w:rFonts w:hint="eastAsia" w:ascii="宋体" w:hAnsi="宋体" w:cs="宋体"/>
                <w:color w:val="auto"/>
                <w:kern w:val="0"/>
                <w:sz w:val="24"/>
              </w:rPr>
            </w:pPr>
            <w:r>
              <w:rPr>
                <w:rFonts w:hint="eastAsia" w:ascii="宋体" w:hAnsi="宋体" w:cs="宋体"/>
                <w:b/>
                <w:bCs/>
                <w:color w:val="auto"/>
                <w:kern w:val="0"/>
                <w:sz w:val="24"/>
              </w:rPr>
              <w:t>成员单位</w:t>
            </w:r>
          </w:p>
        </w:tc>
        <w:tc>
          <w:tcPr>
            <w:tcW w:w="2760" w:type="dxa"/>
            <w:vAlign w:val="center"/>
          </w:tcPr>
          <w:p>
            <w:pPr>
              <w:adjustRightInd w:val="0"/>
              <w:snapToGrid w:val="0"/>
              <w:jc w:val="center"/>
              <w:rPr>
                <w:rFonts w:hint="eastAsia" w:ascii="宋体" w:hAnsi="宋体" w:cs="宋体" w:eastAsiaTheme="minorEastAsia"/>
                <w:color w:val="auto"/>
                <w:kern w:val="2"/>
                <w:sz w:val="24"/>
                <w:szCs w:val="24"/>
                <w:lang w:val="en-US" w:eastAsia="zh-CN" w:bidi="ar-SA"/>
              </w:rPr>
            </w:pPr>
            <w:r>
              <w:rPr>
                <w:rFonts w:hint="eastAsia" w:ascii="宋体" w:hAnsi="宋体" w:cs="宋体"/>
                <w:color w:val="auto"/>
                <w:sz w:val="24"/>
                <w:lang w:eastAsia="zh-CN"/>
              </w:rPr>
              <w:t>县</w:t>
            </w:r>
            <w:r>
              <w:rPr>
                <w:rFonts w:hint="eastAsia" w:ascii="宋体" w:hAnsi="宋体" w:cs="宋体"/>
                <w:color w:val="auto"/>
                <w:sz w:val="24"/>
              </w:rPr>
              <w:t>人社局</w:t>
            </w:r>
          </w:p>
        </w:tc>
        <w:tc>
          <w:tcPr>
            <w:tcW w:w="9951" w:type="dxa"/>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firstLine="480" w:firstLineChars="200"/>
              <w:textAlignment w:val="auto"/>
              <w:rPr>
                <w:rFonts w:hint="eastAsia" w:ascii="宋体" w:hAnsi="宋体" w:cs="宋体" w:eastAsiaTheme="minorEastAsia"/>
                <w:color w:val="auto"/>
                <w:kern w:val="2"/>
                <w:sz w:val="24"/>
                <w:szCs w:val="24"/>
                <w:lang w:val="en-US" w:eastAsia="zh-CN" w:bidi="ar-SA"/>
              </w:rPr>
            </w:pPr>
            <w:r>
              <w:rPr>
                <w:rFonts w:hint="eastAsia" w:ascii="宋体" w:hAnsi="宋体" w:cs="宋体"/>
                <w:color w:val="auto"/>
                <w:sz w:val="24"/>
              </w:rPr>
              <w:t>指导相关单位按照《工伤保险条例》及《山西省实施工伤保险条例办法》规定，落实因参与突发公共卫生事件应急处置工作中受到伤害，被认定为工伤（或视同工伤）人员的工伤保险待遇。指导有关单位按照人社部、财政部规定，对直接参与传染病类突发公共卫生事件的一线工作人员计发传染病疫情防治人员临时性工作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588" w:type="dxa"/>
            <w:vMerge w:val="continue"/>
            <w:vAlign w:val="center"/>
          </w:tcPr>
          <w:p>
            <w:pPr>
              <w:tabs>
                <w:tab w:val="left" w:pos="580"/>
              </w:tabs>
              <w:autoSpaceDE w:val="0"/>
              <w:autoSpaceDN w:val="0"/>
              <w:adjustRightInd w:val="0"/>
              <w:snapToGrid w:val="0"/>
              <w:jc w:val="center"/>
              <w:rPr>
                <w:rFonts w:hint="eastAsia" w:ascii="宋体" w:hAnsi="宋体" w:cs="宋体"/>
                <w:color w:val="auto"/>
                <w:kern w:val="0"/>
                <w:sz w:val="24"/>
              </w:rPr>
            </w:pPr>
          </w:p>
        </w:tc>
        <w:tc>
          <w:tcPr>
            <w:tcW w:w="2760" w:type="dxa"/>
            <w:vAlign w:val="center"/>
          </w:tcPr>
          <w:p>
            <w:pPr>
              <w:adjustRightInd w:val="0"/>
              <w:snapToGrid w:val="0"/>
              <w:jc w:val="center"/>
              <w:rPr>
                <w:rFonts w:hint="eastAsia" w:ascii="宋体" w:hAnsi="宋体" w:cs="宋体" w:eastAsiaTheme="minorEastAsia"/>
                <w:color w:val="auto"/>
                <w:kern w:val="2"/>
                <w:sz w:val="24"/>
                <w:szCs w:val="24"/>
                <w:lang w:val="en-US" w:eastAsia="zh-CN" w:bidi="ar-SA"/>
              </w:rPr>
            </w:pPr>
            <w:r>
              <w:rPr>
                <w:rFonts w:hint="eastAsia" w:ascii="宋体" w:hAnsi="宋体" w:cs="宋体"/>
                <w:color w:val="auto"/>
                <w:sz w:val="24"/>
              </w:rPr>
              <w:t>生态环境</w:t>
            </w:r>
            <w:r>
              <w:rPr>
                <w:rFonts w:hint="eastAsia" w:ascii="宋体" w:hAnsi="宋体" w:cs="宋体"/>
                <w:color w:val="auto"/>
                <w:sz w:val="24"/>
                <w:lang w:eastAsia="zh-CN"/>
              </w:rPr>
              <w:t>夏县分</w:t>
            </w:r>
            <w:r>
              <w:rPr>
                <w:rFonts w:hint="eastAsia" w:ascii="宋体" w:hAnsi="宋体" w:cs="宋体"/>
                <w:color w:val="auto"/>
                <w:sz w:val="24"/>
              </w:rPr>
              <w:t>局</w:t>
            </w:r>
          </w:p>
        </w:tc>
        <w:tc>
          <w:tcPr>
            <w:tcW w:w="9951" w:type="dxa"/>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firstLine="480" w:firstLineChars="200"/>
              <w:textAlignment w:val="auto"/>
              <w:rPr>
                <w:rFonts w:hint="eastAsia" w:ascii="宋体" w:hAnsi="宋体" w:cs="宋体" w:eastAsiaTheme="minorEastAsia"/>
                <w:color w:val="auto"/>
                <w:kern w:val="2"/>
                <w:sz w:val="24"/>
                <w:szCs w:val="24"/>
                <w:lang w:val="en-US" w:eastAsia="zh-CN" w:bidi="ar-SA"/>
              </w:rPr>
            </w:pPr>
            <w:r>
              <w:rPr>
                <w:rFonts w:hint="eastAsia" w:ascii="宋体" w:hAnsi="宋体" w:cs="宋体"/>
                <w:color w:val="auto"/>
                <w:sz w:val="24"/>
              </w:rPr>
              <w:t>负责对突发公共卫生事件引发次生环境污染进行监测及应急处置。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9" w:hRule="atLeast"/>
          <w:jc w:val="center"/>
        </w:trPr>
        <w:tc>
          <w:tcPr>
            <w:tcW w:w="588" w:type="dxa"/>
            <w:vMerge w:val="continue"/>
            <w:vAlign w:val="center"/>
          </w:tcPr>
          <w:p>
            <w:pPr>
              <w:tabs>
                <w:tab w:val="left" w:pos="580"/>
              </w:tabs>
              <w:autoSpaceDE w:val="0"/>
              <w:autoSpaceDN w:val="0"/>
              <w:adjustRightInd w:val="0"/>
              <w:snapToGrid w:val="0"/>
              <w:jc w:val="center"/>
              <w:rPr>
                <w:rFonts w:hint="eastAsia" w:ascii="宋体" w:hAnsi="宋体" w:cs="宋体"/>
                <w:color w:val="auto"/>
                <w:kern w:val="0"/>
                <w:sz w:val="24"/>
              </w:rPr>
            </w:pPr>
          </w:p>
        </w:tc>
        <w:tc>
          <w:tcPr>
            <w:tcW w:w="2760" w:type="dxa"/>
            <w:vAlign w:val="center"/>
          </w:tcPr>
          <w:p>
            <w:pPr>
              <w:adjustRightInd w:val="0"/>
              <w:snapToGrid w:val="0"/>
              <w:jc w:val="center"/>
              <w:rPr>
                <w:rFonts w:hint="eastAsia"/>
                <w:color w:val="auto"/>
                <w:highlight w:val="none"/>
                <w:lang w:eastAsia="zh-CN"/>
              </w:rPr>
            </w:pPr>
          </w:p>
          <w:p>
            <w:pPr>
              <w:adjustRightInd w:val="0"/>
              <w:snapToGrid w:val="0"/>
              <w:jc w:val="center"/>
              <w:rPr>
                <w:rFonts w:hint="eastAsia"/>
                <w:color w:val="auto"/>
                <w:sz w:val="24"/>
                <w:szCs w:val="24"/>
                <w:highlight w:val="none"/>
              </w:rPr>
            </w:pPr>
            <w:r>
              <w:rPr>
                <w:rFonts w:hint="eastAsia"/>
                <w:color w:val="auto"/>
                <w:sz w:val="24"/>
                <w:szCs w:val="24"/>
                <w:highlight w:val="none"/>
                <w:lang w:eastAsia="zh-CN"/>
              </w:rPr>
              <w:t>县</w:t>
            </w:r>
            <w:r>
              <w:rPr>
                <w:rFonts w:hint="eastAsia"/>
                <w:color w:val="auto"/>
                <w:sz w:val="24"/>
                <w:szCs w:val="24"/>
                <w:highlight w:val="none"/>
              </w:rPr>
              <w:t>交通局</w:t>
            </w:r>
          </w:p>
          <w:p>
            <w:pPr>
              <w:pStyle w:val="6"/>
              <w:ind w:firstLine="540" w:firstLineChars="225"/>
              <w:rPr>
                <w:rFonts w:hint="eastAsia" w:ascii="Calibri" w:eastAsia="宋体" w:hAnsiTheme="minorHAnsi" w:cstheme="minorBidi"/>
                <w:color w:val="auto"/>
                <w:kern w:val="0"/>
                <w:sz w:val="24"/>
                <w:szCs w:val="24"/>
                <w:lang w:val="en-US" w:eastAsia="zh-CN" w:bidi="ar-SA"/>
              </w:rPr>
            </w:pPr>
          </w:p>
        </w:tc>
        <w:tc>
          <w:tcPr>
            <w:tcW w:w="9951" w:type="dxa"/>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firstLine="480" w:firstLineChars="200"/>
              <w:textAlignment w:val="auto"/>
              <w:rPr>
                <w:rFonts w:hint="eastAsia" w:ascii="宋体" w:hAnsi="宋体" w:cs="宋体" w:eastAsiaTheme="minorEastAsia"/>
                <w:color w:val="auto"/>
                <w:kern w:val="2"/>
                <w:sz w:val="24"/>
                <w:szCs w:val="24"/>
                <w:lang w:val="en-US" w:eastAsia="zh-CN" w:bidi="ar-SA"/>
              </w:rPr>
            </w:pPr>
            <w:r>
              <w:rPr>
                <w:rFonts w:hint="eastAsia" w:ascii="宋体" w:hAnsi="宋体" w:cs="宋体"/>
                <w:color w:val="auto"/>
                <w:sz w:val="24"/>
              </w:rPr>
              <w:t>负责协助开展乘坐交通工具人员的交通检疫、查验工作，防止传染病通过交通工具传播；组织协调疫区公路运输运力保障工作，确保突发公共卫生事件应急处置人员、药品、器械、物资及有关标本的运送。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7" w:hRule="atLeast"/>
          <w:jc w:val="center"/>
        </w:trPr>
        <w:tc>
          <w:tcPr>
            <w:tcW w:w="588" w:type="dxa"/>
            <w:vMerge w:val="continue"/>
            <w:vAlign w:val="center"/>
          </w:tcPr>
          <w:p>
            <w:pPr>
              <w:tabs>
                <w:tab w:val="left" w:pos="580"/>
              </w:tabs>
              <w:autoSpaceDE w:val="0"/>
              <w:autoSpaceDN w:val="0"/>
              <w:adjustRightInd w:val="0"/>
              <w:snapToGrid w:val="0"/>
              <w:jc w:val="center"/>
              <w:rPr>
                <w:rFonts w:hint="eastAsia" w:ascii="宋体" w:hAnsi="宋体" w:cs="宋体"/>
                <w:color w:val="auto"/>
                <w:kern w:val="0"/>
                <w:sz w:val="24"/>
              </w:rPr>
            </w:pPr>
          </w:p>
        </w:tc>
        <w:tc>
          <w:tcPr>
            <w:tcW w:w="2760" w:type="dxa"/>
            <w:vAlign w:val="center"/>
          </w:tcPr>
          <w:p>
            <w:pPr>
              <w:adjustRightInd w:val="0"/>
              <w:snapToGrid w:val="0"/>
              <w:jc w:val="center"/>
              <w:rPr>
                <w:rFonts w:hint="eastAsia" w:ascii="宋体" w:hAnsi="宋体" w:cs="宋体" w:eastAsiaTheme="minorEastAsia"/>
                <w:color w:val="auto"/>
                <w:kern w:val="2"/>
                <w:sz w:val="24"/>
                <w:szCs w:val="24"/>
                <w:lang w:val="en-US" w:eastAsia="zh-CN" w:bidi="ar-SA"/>
              </w:rPr>
            </w:pPr>
            <w:r>
              <w:rPr>
                <w:rFonts w:hint="eastAsia" w:ascii="宋体" w:hAnsi="宋体" w:cs="宋体"/>
                <w:color w:val="auto"/>
                <w:sz w:val="24"/>
                <w:lang w:eastAsia="zh-CN"/>
              </w:rPr>
              <w:t>县</w:t>
            </w:r>
            <w:r>
              <w:rPr>
                <w:rFonts w:hint="eastAsia" w:ascii="宋体" w:hAnsi="宋体" w:cs="宋体"/>
                <w:color w:val="auto"/>
                <w:sz w:val="24"/>
              </w:rPr>
              <w:t>农业农村局</w:t>
            </w:r>
          </w:p>
        </w:tc>
        <w:tc>
          <w:tcPr>
            <w:tcW w:w="9951" w:type="dxa"/>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firstLine="480" w:firstLineChars="200"/>
              <w:textAlignment w:val="auto"/>
              <w:rPr>
                <w:rFonts w:hint="eastAsia" w:ascii="宋体" w:hAnsi="宋体" w:cs="宋体" w:eastAsiaTheme="minorEastAsia"/>
                <w:color w:val="auto"/>
                <w:kern w:val="2"/>
                <w:sz w:val="24"/>
                <w:szCs w:val="24"/>
                <w:lang w:val="en-US" w:eastAsia="zh-CN" w:bidi="ar-SA"/>
              </w:rPr>
            </w:pPr>
            <w:r>
              <w:rPr>
                <w:rFonts w:hint="eastAsia" w:ascii="宋体" w:hAnsi="宋体" w:cs="宋体"/>
                <w:color w:val="auto"/>
                <w:sz w:val="24"/>
              </w:rPr>
              <w:t>负责与突发公共卫生事件相关的家畜家禽人畜共患传染病的预防、控制、扑灭工作。开展与人密切接触的家畜家禽感染人畜共患传染病的监测和管理工作；协助开展初级农产品（种植业产品和畜禽产品）生产环节质量安全引发的突发公共卫生事件的应急处置工作</w:t>
            </w:r>
            <w:r>
              <w:rPr>
                <w:rFonts w:hint="eastAsia" w:ascii="宋体" w:hAnsi="宋体" w:cs="宋体"/>
                <w:color w:val="auto"/>
                <w:sz w:val="24"/>
                <w:lang w:eastAsia="zh-CN"/>
              </w:rPr>
              <w:t>，</w:t>
            </w:r>
            <w:r>
              <w:rPr>
                <w:rFonts w:hint="eastAsia" w:ascii="宋体" w:hAnsi="宋体" w:cs="宋体"/>
                <w:color w:val="auto"/>
                <w:sz w:val="24"/>
              </w:rPr>
              <w:t>互通和会商研判相关信息。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588" w:type="dxa"/>
            <w:vMerge w:val="continue"/>
            <w:vAlign w:val="center"/>
          </w:tcPr>
          <w:p>
            <w:pPr>
              <w:tabs>
                <w:tab w:val="left" w:pos="580"/>
              </w:tabs>
              <w:autoSpaceDE w:val="0"/>
              <w:autoSpaceDN w:val="0"/>
              <w:adjustRightInd w:val="0"/>
              <w:snapToGrid w:val="0"/>
              <w:jc w:val="center"/>
              <w:rPr>
                <w:rFonts w:hint="eastAsia" w:ascii="宋体" w:hAnsi="宋体" w:cs="宋体"/>
                <w:color w:val="auto"/>
                <w:kern w:val="0"/>
                <w:sz w:val="24"/>
              </w:rPr>
            </w:pPr>
          </w:p>
        </w:tc>
        <w:tc>
          <w:tcPr>
            <w:tcW w:w="2760" w:type="dxa"/>
            <w:vAlign w:val="center"/>
          </w:tcPr>
          <w:p>
            <w:pPr>
              <w:adjustRightInd w:val="0"/>
              <w:snapToGrid w:val="0"/>
              <w:jc w:val="center"/>
              <w:rPr>
                <w:rFonts w:hint="eastAsia" w:ascii="宋体" w:hAnsi="宋体" w:cs="宋体"/>
                <w:color w:val="auto"/>
                <w:sz w:val="24"/>
                <w:lang w:eastAsia="zh-CN"/>
              </w:rPr>
            </w:pPr>
            <w:r>
              <w:rPr>
                <w:rFonts w:hint="eastAsia" w:ascii="宋体" w:hAnsi="宋体" w:cs="宋体"/>
                <w:color w:val="auto"/>
                <w:sz w:val="24"/>
                <w:lang w:val="en-US" w:eastAsia="zh-CN"/>
              </w:rPr>
              <w:t>县林业局</w:t>
            </w:r>
          </w:p>
        </w:tc>
        <w:tc>
          <w:tcPr>
            <w:tcW w:w="9951" w:type="dxa"/>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firstLine="480" w:firstLineChars="200"/>
              <w:textAlignment w:val="auto"/>
              <w:rPr>
                <w:rFonts w:hint="eastAsia" w:ascii="宋体" w:hAnsi="宋体" w:cs="宋体"/>
                <w:color w:val="auto"/>
                <w:sz w:val="24"/>
              </w:rPr>
            </w:pPr>
            <w:r>
              <w:rPr>
                <w:rFonts w:hint="eastAsia" w:ascii="宋体" w:hAnsi="宋体" w:cs="宋体"/>
                <w:color w:val="auto"/>
                <w:sz w:val="24"/>
              </w:rPr>
              <w:t>负责组织开展陆生野生动物疫源疫病的监测和管理工作;会同有关部门落实陆生野生动物疫情防控措施。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588" w:type="dxa"/>
            <w:vMerge w:val="continue"/>
            <w:vAlign w:val="center"/>
          </w:tcPr>
          <w:p>
            <w:pPr>
              <w:tabs>
                <w:tab w:val="left" w:pos="580"/>
              </w:tabs>
              <w:autoSpaceDE w:val="0"/>
              <w:autoSpaceDN w:val="0"/>
              <w:adjustRightInd w:val="0"/>
              <w:snapToGrid w:val="0"/>
              <w:jc w:val="center"/>
              <w:rPr>
                <w:rFonts w:hint="eastAsia" w:ascii="宋体" w:hAnsi="宋体" w:cs="宋体"/>
                <w:color w:val="auto"/>
                <w:kern w:val="0"/>
                <w:sz w:val="24"/>
              </w:rPr>
            </w:pPr>
          </w:p>
        </w:tc>
        <w:tc>
          <w:tcPr>
            <w:tcW w:w="2760" w:type="dxa"/>
            <w:vAlign w:val="center"/>
          </w:tcPr>
          <w:p>
            <w:pPr>
              <w:adjustRightInd w:val="0"/>
              <w:snapToGrid w:val="0"/>
              <w:jc w:val="center"/>
              <w:rPr>
                <w:rFonts w:hint="eastAsia" w:ascii="宋体" w:hAnsi="宋体" w:cs="宋体" w:eastAsiaTheme="minorEastAsia"/>
                <w:color w:val="auto"/>
                <w:kern w:val="2"/>
                <w:sz w:val="24"/>
                <w:szCs w:val="24"/>
                <w:lang w:val="en-US" w:eastAsia="zh-CN" w:bidi="ar-SA"/>
              </w:rPr>
            </w:pPr>
            <w:r>
              <w:rPr>
                <w:rFonts w:hint="eastAsia" w:ascii="宋体" w:hAnsi="宋体" w:cs="宋体"/>
                <w:color w:val="auto"/>
                <w:sz w:val="24"/>
                <w:lang w:eastAsia="zh-CN"/>
              </w:rPr>
              <w:t>县</w:t>
            </w:r>
            <w:r>
              <w:rPr>
                <w:rFonts w:hint="eastAsia" w:ascii="宋体" w:hAnsi="宋体" w:cs="宋体"/>
                <w:color w:val="auto"/>
                <w:sz w:val="24"/>
              </w:rPr>
              <w:t>文旅局</w:t>
            </w:r>
          </w:p>
        </w:tc>
        <w:tc>
          <w:tcPr>
            <w:tcW w:w="9951" w:type="dxa"/>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firstLine="480" w:firstLineChars="200"/>
              <w:textAlignment w:val="auto"/>
              <w:rPr>
                <w:rFonts w:hint="eastAsia" w:ascii="宋体" w:hAnsi="宋体" w:cs="宋体" w:eastAsiaTheme="minorEastAsia"/>
                <w:color w:val="auto"/>
                <w:kern w:val="2"/>
                <w:sz w:val="24"/>
                <w:szCs w:val="24"/>
                <w:lang w:val="en-US" w:eastAsia="zh-CN" w:bidi="ar-SA"/>
              </w:rPr>
            </w:pPr>
            <w:r>
              <w:rPr>
                <w:rFonts w:hint="eastAsia" w:ascii="宋体" w:hAnsi="宋体" w:cs="宋体"/>
                <w:color w:val="auto"/>
                <w:sz w:val="24"/>
              </w:rPr>
              <w:t>负责督促指导旅行社</w:t>
            </w:r>
            <w:r>
              <w:rPr>
                <w:rFonts w:hint="eastAsia" w:ascii="宋体" w:hAnsi="宋体" w:cs="宋体"/>
                <w:color w:val="auto"/>
                <w:sz w:val="24"/>
                <w:lang w:eastAsia="zh-CN"/>
              </w:rPr>
              <w:t>、</w:t>
            </w:r>
            <w:r>
              <w:rPr>
                <w:rFonts w:hint="eastAsia" w:ascii="宋体" w:hAnsi="宋体" w:cs="宋体"/>
                <w:color w:val="auto"/>
                <w:sz w:val="24"/>
                <w:lang w:val="en-US" w:eastAsia="zh-CN"/>
              </w:rPr>
              <w:t>景区等单位</w:t>
            </w:r>
            <w:r>
              <w:rPr>
                <w:rFonts w:hint="eastAsia" w:ascii="宋体" w:hAnsi="宋体" w:cs="宋体"/>
                <w:color w:val="auto"/>
                <w:sz w:val="24"/>
              </w:rPr>
              <w:t>做好团队游客的健康宣传和安全管理等工作，防止突发公共卫生事件在旅游团队中发生和跨地区传播扩散。互通和会商研判相关信息。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588" w:type="dxa"/>
            <w:vMerge w:val="continue"/>
            <w:vAlign w:val="center"/>
          </w:tcPr>
          <w:p>
            <w:pPr>
              <w:tabs>
                <w:tab w:val="left" w:pos="580"/>
              </w:tabs>
              <w:autoSpaceDE w:val="0"/>
              <w:autoSpaceDN w:val="0"/>
              <w:adjustRightInd w:val="0"/>
              <w:snapToGrid w:val="0"/>
              <w:jc w:val="center"/>
              <w:rPr>
                <w:rFonts w:hint="eastAsia" w:ascii="宋体" w:hAnsi="宋体" w:cs="宋体"/>
                <w:color w:val="auto"/>
                <w:kern w:val="0"/>
                <w:sz w:val="24"/>
              </w:rPr>
            </w:pPr>
          </w:p>
        </w:tc>
        <w:tc>
          <w:tcPr>
            <w:tcW w:w="2760" w:type="dxa"/>
            <w:vAlign w:val="center"/>
          </w:tcPr>
          <w:p>
            <w:pPr>
              <w:adjustRightInd w:val="0"/>
              <w:snapToGrid w:val="0"/>
              <w:jc w:val="center"/>
              <w:rPr>
                <w:rFonts w:hint="eastAsia" w:ascii="宋体" w:hAnsi="宋体" w:cs="宋体" w:eastAsiaTheme="minorEastAsia"/>
                <w:color w:val="auto"/>
                <w:kern w:val="2"/>
                <w:sz w:val="24"/>
                <w:szCs w:val="24"/>
                <w:lang w:val="en-US" w:eastAsia="zh-CN" w:bidi="ar-SA"/>
              </w:rPr>
            </w:pPr>
            <w:r>
              <w:rPr>
                <w:rFonts w:hint="eastAsia" w:ascii="宋体" w:hAnsi="宋体" w:cs="宋体"/>
                <w:color w:val="auto"/>
                <w:sz w:val="24"/>
                <w:lang w:eastAsia="zh-CN"/>
              </w:rPr>
              <w:t>县</w:t>
            </w:r>
            <w:r>
              <w:rPr>
                <w:rFonts w:hint="eastAsia" w:ascii="宋体" w:hAnsi="宋体" w:cs="宋体"/>
                <w:color w:val="auto"/>
                <w:sz w:val="24"/>
              </w:rPr>
              <w:t>应急</w:t>
            </w:r>
            <w:r>
              <w:rPr>
                <w:rFonts w:hint="eastAsia" w:ascii="宋体" w:hAnsi="宋体" w:cs="宋体"/>
                <w:color w:val="auto"/>
                <w:sz w:val="24"/>
                <w:lang w:eastAsia="zh-CN"/>
              </w:rPr>
              <w:t>管理</w:t>
            </w:r>
            <w:r>
              <w:rPr>
                <w:rFonts w:hint="eastAsia" w:ascii="宋体" w:hAnsi="宋体" w:cs="宋体"/>
                <w:color w:val="auto"/>
                <w:sz w:val="24"/>
              </w:rPr>
              <w:t>局</w:t>
            </w:r>
          </w:p>
        </w:tc>
        <w:tc>
          <w:tcPr>
            <w:tcW w:w="9951" w:type="dxa"/>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firstLine="480" w:firstLineChars="200"/>
              <w:textAlignment w:val="auto"/>
              <w:rPr>
                <w:rFonts w:hint="eastAsia" w:ascii="宋体" w:hAnsi="宋体" w:cs="宋体" w:eastAsiaTheme="minorEastAsia"/>
                <w:color w:val="auto"/>
                <w:kern w:val="2"/>
                <w:sz w:val="24"/>
                <w:szCs w:val="24"/>
                <w:lang w:val="en-US" w:eastAsia="zh-CN" w:bidi="ar-SA"/>
              </w:rPr>
            </w:pPr>
            <w:r>
              <w:rPr>
                <w:rFonts w:hint="eastAsia" w:ascii="宋体" w:hAnsi="宋体" w:cs="宋体"/>
                <w:color w:val="auto"/>
                <w:sz w:val="24"/>
              </w:rPr>
              <w:t>负责组织协调全</w:t>
            </w:r>
            <w:r>
              <w:rPr>
                <w:rFonts w:hint="eastAsia" w:ascii="宋体" w:hAnsi="宋体" w:cs="宋体"/>
                <w:color w:val="auto"/>
                <w:sz w:val="24"/>
                <w:lang w:eastAsia="zh-CN"/>
              </w:rPr>
              <w:t>县</w:t>
            </w:r>
            <w:r>
              <w:rPr>
                <w:rFonts w:hint="eastAsia" w:ascii="宋体" w:hAnsi="宋体" w:cs="宋体"/>
                <w:color w:val="auto"/>
                <w:sz w:val="24"/>
              </w:rPr>
              <w:t>应急救援自然灾害、安全生产类应急救援力量，配合做好突发公共卫生事件应急处置工作。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9" w:hRule="atLeast"/>
          <w:jc w:val="center"/>
        </w:trPr>
        <w:tc>
          <w:tcPr>
            <w:tcW w:w="588" w:type="dxa"/>
            <w:vMerge w:val="continue"/>
            <w:vAlign w:val="center"/>
          </w:tcPr>
          <w:p>
            <w:pPr>
              <w:tabs>
                <w:tab w:val="left" w:pos="580"/>
              </w:tabs>
              <w:autoSpaceDE w:val="0"/>
              <w:autoSpaceDN w:val="0"/>
              <w:adjustRightInd w:val="0"/>
              <w:snapToGrid w:val="0"/>
              <w:jc w:val="center"/>
              <w:rPr>
                <w:rFonts w:hint="eastAsia" w:ascii="宋体" w:hAnsi="宋体" w:cs="宋体"/>
                <w:color w:val="auto"/>
                <w:kern w:val="0"/>
                <w:sz w:val="24"/>
              </w:rPr>
            </w:pPr>
          </w:p>
        </w:tc>
        <w:tc>
          <w:tcPr>
            <w:tcW w:w="2760" w:type="dxa"/>
            <w:vAlign w:val="center"/>
          </w:tcPr>
          <w:p>
            <w:pPr>
              <w:adjustRightInd w:val="0"/>
              <w:snapToGrid w:val="0"/>
              <w:jc w:val="center"/>
              <w:rPr>
                <w:rFonts w:hint="eastAsia" w:ascii="宋体" w:hAnsi="宋体" w:cs="宋体" w:eastAsiaTheme="minorEastAsia"/>
                <w:color w:val="auto"/>
                <w:kern w:val="2"/>
                <w:sz w:val="24"/>
                <w:szCs w:val="24"/>
                <w:lang w:val="en-US" w:eastAsia="zh-CN" w:bidi="ar-SA"/>
              </w:rPr>
            </w:pPr>
            <w:r>
              <w:rPr>
                <w:rFonts w:hint="eastAsia" w:ascii="宋体" w:hAnsi="宋体" w:cs="宋体"/>
                <w:color w:val="auto"/>
                <w:sz w:val="24"/>
                <w:lang w:eastAsia="zh-CN"/>
              </w:rPr>
              <w:t>县卫体局</w:t>
            </w:r>
          </w:p>
        </w:tc>
        <w:tc>
          <w:tcPr>
            <w:tcW w:w="9951" w:type="dxa"/>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firstLine="480" w:firstLineChars="200"/>
              <w:textAlignment w:val="auto"/>
              <w:rPr>
                <w:rFonts w:hint="eastAsia" w:ascii="宋体" w:hAnsi="宋体" w:cs="宋体" w:eastAsiaTheme="minorEastAsia"/>
                <w:color w:val="auto"/>
                <w:kern w:val="2"/>
                <w:sz w:val="24"/>
                <w:szCs w:val="24"/>
                <w:lang w:val="en-US" w:eastAsia="zh-CN" w:bidi="ar-SA"/>
              </w:rPr>
            </w:pPr>
            <w:r>
              <w:rPr>
                <w:rFonts w:hint="eastAsia" w:ascii="宋体" w:hAnsi="宋体" w:cs="宋体"/>
                <w:color w:val="auto"/>
                <w:sz w:val="24"/>
              </w:rPr>
              <w:t>承担</w:t>
            </w:r>
            <w:r>
              <w:rPr>
                <w:rFonts w:hint="eastAsia" w:ascii="宋体" w:hAnsi="宋体" w:cs="宋体"/>
                <w:color w:val="auto"/>
                <w:sz w:val="24"/>
                <w:lang w:eastAsia="zh-CN"/>
              </w:rPr>
              <w:t>县</w:t>
            </w:r>
            <w:r>
              <w:rPr>
                <w:rFonts w:hint="eastAsia" w:ascii="宋体" w:hAnsi="宋体" w:cs="宋体"/>
                <w:color w:val="auto"/>
                <w:sz w:val="24"/>
              </w:rPr>
              <w:t>指挥部办公室日常工作职责，牵头联络</w:t>
            </w:r>
            <w:r>
              <w:rPr>
                <w:rFonts w:hint="eastAsia" w:ascii="宋体" w:hAnsi="宋体" w:cs="宋体"/>
                <w:color w:val="auto"/>
                <w:sz w:val="24"/>
                <w:lang w:eastAsia="zh-CN"/>
              </w:rPr>
              <w:t>县</w:t>
            </w:r>
            <w:r>
              <w:rPr>
                <w:rFonts w:hint="eastAsia" w:ascii="宋体" w:hAnsi="宋体" w:cs="宋体"/>
                <w:color w:val="auto"/>
                <w:sz w:val="24"/>
              </w:rPr>
              <w:t>联防联控工作机制。负责组织建设和日常管理突发公共卫生事件专家</w:t>
            </w:r>
            <w:r>
              <w:rPr>
                <w:rFonts w:hint="eastAsia" w:ascii="宋体" w:hAnsi="宋体" w:cs="宋体"/>
                <w:color w:val="auto"/>
                <w:sz w:val="24"/>
                <w:lang w:val="en-US" w:eastAsia="zh-CN"/>
              </w:rPr>
              <w:t>组</w:t>
            </w:r>
            <w:r>
              <w:rPr>
                <w:rFonts w:hint="eastAsia" w:ascii="宋体" w:hAnsi="宋体" w:cs="宋体"/>
                <w:color w:val="auto"/>
                <w:sz w:val="24"/>
              </w:rPr>
              <w:t>、卫生应急队伍。督导实施突发公共卫生事件及相关信息的监测、评估、报告。组织认定突发公共卫生事件</w:t>
            </w:r>
            <w:r>
              <w:rPr>
                <w:rFonts w:hint="eastAsia" w:ascii="宋体" w:hAnsi="宋体" w:cs="宋体"/>
                <w:color w:val="auto"/>
                <w:sz w:val="24"/>
                <w:lang w:val="en-US" w:eastAsia="zh-CN"/>
              </w:rPr>
              <w:t>级别</w:t>
            </w:r>
            <w:r>
              <w:rPr>
                <w:rFonts w:hint="eastAsia" w:ascii="宋体" w:hAnsi="宋体" w:cs="宋体"/>
                <w:color w:val="auto"/>
                <w:sz w:val="24"/>
              </w:rPr>
              <w:t>，提出应急响应建议。报送和发布突发公共卫生事件信息、处置信息和健康宣教信息。互通和会商研判相关信息。组织制定、督导执行诊疗和防控方案。协调医疗救治和疾病防控专家、卫生应急队伍等力量，参与</w:t>
            </w:r>
            <w:r>
              <w:rPr>
                <w:rFonts w:hint="eastAsia" w:ascii="宋体" w:hAnsi="宋体" w:cs="宋体"/>
                <w:color w:val="auto"/>
                <w:sz w:val="24"/>
                <w:lang w:val="en-US" w:eastAsia="zh-CN"/>
              </w:rPr>
              <w:t>应急</w:t>
            </w:r>
            <w:r>
              <w:rPr>
                <w:rFonts w:hint="eastAsia" w:ascii="宋体" w:hAnsi="宋体" w:cs="宋体"/>
                <w:color w:val="auto"/>
                <w:sz w:val="24"/>
              </w:rPr>
              <w:t>处置。组织实施相关病例采样检测、会诊排查、转运救治及相关人员医学观察。提报医药和物资应急储备需求及调拨计划、应急处置经费预算。</w:t>
            </w:r>
          </w:p>
        </w:tc>
      </w:tr>
    </w:tbl>
    <w:p>
      <w:pPr>
        <w:rPr>
          <w:color w:val="auto"/>
        </w:rPr>
      </w:pPr>
      <w:r>
        <w:rPr>
          <w:color w:val="auto"/>
        </w:rPr>
        <w:br w:type="page"/>
      </w:r>
    </w:p>
    <w:p>
      <w:pPr>
        <w:pStyle w:val="6"/>
        <w:rPr>
          <w:color w:val="auto"/>
        </w:rPr>
      </w:pPr>
    </w:p>
    <w:tbl>
      <w:tblPr>
        <w:tblStyle w:val="7"/>
        <w:tblW w:w="132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2"/>
        <w:gridCol w:w="2688"/>
        <w:gridCol w:w="99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blHeader/>
          <w:jc w:val="center"/>
        </w:trPr>
        <w:tc>
          <w:tcPr>
            <w:tcW w:w="3310" w:type="dxa"/>
            <w:gridSpan w:val="2"/>
            <w:vAlign w:val="center"/>
          </w:tcPr>
          <w:p>
            <w:pPr>
              <w:tabs>
                <w:tab w:val="left" w:pos="580"/>
              </w:tabs>
              <w:autoSpaceDE w:val="0"/>
              <w:autoSpaceDN w:val="0"/>
              <w:adjustRightInd w:val="0"/>
              <w:snapToGrid w:val="0"/>
              <w:jc w:val="center"/>
              <w:rPr>
                <w:rFonts w:hint="eastAsia" w:ascii="黑体" w:hAnsi="黑体" w:eastAsia="黑体" w:cs="黑体"/>
                <w:color w:val="auto"/>
                <w:kern w:val="0"/>
                <w:sz w:val="24"/>
              </w:rPr>
            </w:pPr>
            <w:r>
              <w:rPr>
                <w:rFonts w:hint="eastAsia" w:ascii="黑体" w:hAnsi="黑体" w:eastAsia="黑体" w:cs="黑体"/>
                <w:color w:val="auto"/>
                <w:kern w:val="0"/>
                <w:sz w:val="24"/>
              </w:rPr>
              <w:t>指挥机构组成</w:t>
            </w:r>
          </w:p>
        </w:tc>
        <w:tc>
          <w:tcPr>
            <w:tcW w:w="9987" w:type="dxa"/>
            <w:vAlign w:val="center"/>
          </w:tcPr>
          <w:p>
            <w:pPr>
              <w:tabs>
                <w:tab w:val="left" w:pos="580"/>
              </w:tabs>
              <w:autoSpaceDE w:val="0"/>
              <w:autoSpaceDN w:val="0"/>
              <w:adjustRightInd w:val="0"/>
              <w:snapToGrid w:val="0"/>
              <w:jc w:val="center"/>
              <w:rPr>
                <w:rFonts w:hint="eastAsia" w:ascii="黑体" w:hAnsi="黑体" w:eastAsia="黑体" w:cs="黑体"/>
                <w:color w:val="auto"/>
                <w:kern w:val="0"/>
                <w:sz w:val="24"/>
              </w:rPr>
            </w:pPr>
            <w:r>
              <w:rPr>
                <w:rFonts w:hint="eastAsia" w:ascii="黑体" w:hAnsi="黑体" w:eastAsia="黑体" w:cs="黑体"/>
                <w:color w:val="auto"/>
                <w:kern w:val="0"/>
                <w:sz w:val="24"/>
              </w:rPr>
              <w:t>主  要  职  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8" w:hRule="atLeast"/>
          <w:jc w:val="center"/>
        </w:trPr>
        <w:tc>
          <w:tcPr>
            <w:tcW w:w="622" w:type="dxa"/>
            <w:vMerge w:val="restart"/>
            <w:vAlign w:val="center"/>
          </w:tcPr>
          <w:p>
            <w:pPr>
              <w:tabs>
                <w:tab w:val="left" w:pos="580"/>
              </w:tabs>
              <w:autoSpaceDE w:val="0"/>
              <w:autoSpaceDN w:val="0"/>
              <w:adjustRightInd w:val="0"/>
              <w:snapToGrid w:val="0"/>
              <w:jc w:val="center"/>
              <w:rPr>
                <w:rFonts w:hint="eastAsia" w:ascii="宋体" w:hAnsi="宋体" w:cs="宋体"/>
                <w:color w:val="auto"/>
                <w:kern w:val="0"/>
                <w:sz w:val="24"/>
              </w:rPr>
            </w:pPr>
            <w:r>
              <w:rPr>
                <w:rFonts w:hint="eastAsia" w:ascii="宋体" w:hAnsi="宋体" w:cs="宋体"/>
                <w:color w:val="auto"/>
                <w:kern w:val="0"/>
                <w:sz w:val="24"/>
              </w:rPr>
              <w:t>成员单位</w:t>
            </w:r>
          </w:p>
        </w:tc>
        <w:tc>
          <w:tcPr>
            <w:tcW w:w="2688" w:type="dxa"/>
            <w:vAlign w:val="center"/>
          </w:tcPr>
          <w:p>
            <w:pPr>
              <w:adjustRightInd w:val="0"/>
              <w:snapToGrid w:val="0"/>
              <w:jc w:val="center"/>
              <w:rPr>
                <w:rFonts w:hint="eastAsia" w:ascii="宋体" w:hAnsi="宋体" w:cs="宋体" w:eastAsiaTheme="minorEastAsia"/>
                <w:color w:val="auto"/>
                <w:kern w:val="2"/>
                <w:sz w:val="24"/>
                <w:szCs w:val="24"/>
                <w:lang w:val="en-US" w:eastAsia="zh-CN" w:bidi="ar-SA"/>
              </w:rPr>
            </w:pPr>
            <w:r>
              <w:rPr>
                <w:rFonts w:hint="eastAsia" w:ascii="宋体" w:hAnsi="宋体" w:cs="宋体"/>
                <w:color w:val="auto"/>
                <w:sz w:val="24"/>
                <w:lang w:eastAsia="zh-CN"/>
              </w:rPr>
              <w:t>县市场监管局</w:t>
            </w:r>
          </w:p>
        </w:tc>
        <w:tc>
          <w:tcPr>
            <w:tcW w:w="9987" w:type="dxa"/>
            <w:vAlign w:val="center"/>
          </w:tcPr>
          <w:p>
            <w:pPr>
              <w:adjustRightInd w:val="0"/>
              <w:snapToGrid w:val="0"/>
              <w:ind w:firstLine="480" w:firstLineChars="200"/>
              <w:rPr>
                <w:rFonts w:hint="eastAsia" w:ascii="宋体" w:hAnsi="宋体" w:cs="宋体"/>
                <w:color w:val="auto"/>
                <w:sz w:val="24"/>
              </w:rPr>
            </w:pPr>
            <w:r>
              <w:rPr>
                <w:rFonts w:hint="eastAsia" w:ascii="宋体" w:hAnsi="宋体" w:cs="宋体"/>
                <w:color w:val="auto"/>
                <w:sz w:val="24"/>
              </w:rPr>
              <w:t>负责食物中毒事件的综合协调处置；做好生产加工、流通、消费环节食物中毒突发公共卫生事件的应急处置工作；互通和会商研判相关信息。负责对药品、疫苗等相关</w:t>
            </w:r>
            <w:r>
              <w:rPr>
                <w:rFonts w:hint="eastAsia" w:ascii="宋体" w:hAnsi="宋体" w:cs="宋体"/>
                <w:color w:val="auto"/>
                <w:sz w:val="24"/>
                <w:lang w:val="en-US" w:eastAsia="zh-CN"/>
              </w:rPr>
              <w:t>领域</w:t>
            </w:r>
            <w:r>
              <w:rPr>
                <w:rFonts w:hint="eastAsia" w:ascii="宋体" w:hAnsi="宋体" w:cs="宋体"/>
                <w:color w:val="auto"/>
                <w:sz w:val="24"/>
              </w:rPr>
              <w:t>突发公共卫生事件的</w:t>
            </w:r>
            <w:r>
              <w:rPr>
                <w:rFonts w:hint="eastAsia" w:ascii="宋体" w:hAnsi="宋体" w:cs="宋体"/>
                <w:color w:val="auto"/>
                <w:sz w:val="24"/>
                <w:lang w:val="en-US" w:eastAsia="zh-CN"/>
              </w:rPr>
              <w:t>应急</w:t>
            </w:r>
            <w:r>
              <w:rPr>
                <w:rFonts w:hint="eastAsia" w:ascii="宋体" w:hAnsi="宋体" w:cs="宋体"/>
                <w:color w:val="auto"/>
                <w:sz w:val="24"/>
              </w:rPr>
              <w:t>处置</w:t>
            </w:r>
            <w:r>
              <w:rPr>
                <w:rFonts w:hint="eastAsia" w:ascii="宋体" w:hAnsi="宋体" w:cs="宋体"/>
                <w:color w:val="auto"/>
                <w:sz w:val="24"/>
                <w:lang w:val="en-US" w:eastAsia="zh-CN"/>
              </w:rPr>
              <w:t>工作</w:t>
            </w:r>
            <w:r>
              <w:rPr>
                <w:rFonts w:hint="eastAsia" w:ascii="宋体" w:hAnsi="宋体" w:cs="宋体"/>
                <w:color w:val="auto"/>
                <w:sz w:val="24"/>
              </w:rPr>
              <w:t>。</w:t>
            </w:r>
          </w:p>
          <w:p>
            <w:pPr>
              <w:adjustRightInd w:val="0"/>
              <w:snapToGrid w:val="0"/>
              <w:ind w:firstLine="480" w:firstLineChars="200"/>
              <w:rPr>
                <w:rFonts w:hint="eastAsia" w:asciiTheme="minorHAnsi" w:hAnsiTheme="minorHAnsi" w:eastAsiaTheme="minorEastAsia" w:cstheme="minorBidi"/>
                <w:color w:val="auto"/>
                <w:kern w:val="2"/>
                <w:sz w:val="21"/>
                <w:szCs w:val="24"/>
                <w:lang w:val="en-US" w:eastAsia="zh-CN" w:bidi="ar-SA"/>
              </w:rPr>
            </w:pPr>
            <w:r>
              <w:rPr>
                <w:rFonts w:hint="eastAsia" w:ascii="宋体" w:hAnsi="宋体" w:cs="宋体"/>
                <w:color w:val="auto"/>
                <w:sz w:val="24"/>
                <w:lang w:val="en-US" w:eastAsia="zh-CN"/>
              </w:rPr>
              <w:t>根据</w:t>
            </w:r>
            <w:r>
              <w:rPr>
                <w:rFonts w:hint="default" w:ascii="宋体" w:hAnsi="宋体" w:cs="宋体"/>
                <w:color w:val="auto"/>
                <w:sz w:val="24"/>
                <w:lang w:val="en-US" w:eastAsia="zh-CN"/>
              </w:rPr>
              <w:t>县指挥部</w:t>
            </w:r>
            <w:r>
              <w:rPr>
                <w:rFonts w:hint="eastAsia" w:ascii="宋体" w:hAnsi="宋体" w:cs="宋体"/>
                <w:color w:val="auto"/>
                <w:sz w:val="24"/>
                <w:lang w:val="en-US" w:eastAsia="zh-CN"/>
              </w:rPr>
              <w:t>指令，</w:t>
            </w:r>
            <w:r>
              <w:rPr>
                <w:rFonts w:hint="default" w:ascii="宋体" w:hAnsi="宋体" w:cs="宋体"/>
                <w:color w:val="auto"/>
                <w:sz w:val="24"/>
                <w:lang w:val="en-US" w:eastAsia="zh-CN"/>
              </w:rPr>
              <w:t>重点落实好</w:t>
            </w:r>
            <w:r>
              <w:rPr>
                <w:rFonts w:hint="eastAsia" w:ascii="宋体" w:hAnsi="宋体" w:cs="宋体"/>
                <w:color w:val="auto"/>
                <w:sz w:val="24"/>
                <w:lang w:val="en-US" w:eastAsia="zh-CN"/>
              </w:rPr>
              <w:t>突发公共卫生事件所需</w:t>
            </w:r>
            <w:r>
              <w:rPr>
                <w:rFonts w:hint="default" w:ascii="宋体" w:hAnsi="宋体" w:cs="宋体"/>
                <w:color w:val="auto"/>
                <w:sz w:val="24"/>
                <w:lang w:val="en-US" w:eastAsia="zh-CN"/>
              </w:rPr>
              <w:t>应急物资的物价稳定，</w:t>
            </w:r>
            <w:r>
              <w:rPr>
                <w:rFonts w:hint="eastAsia" w:ascii="宋体" w:hAnsi="宋体" w:cs="宋体"/>
                <w:color w:val="auto"/>
                <w:sz w:val="24"/>
              </w:rPr>
              <w:t>负责对突发公共卫生事件相关产品的市场监管工作，</w:t>
            </w:r>
            <w:r>
              <w:rPr>
                <w:rFonts w:hint="default" w:ascii="宋体" w:hAnsi="宋体" w:cs="宋体"/>
                <w:color w:val="auto"/>
                <w:sz w:val="24"/>
                <w:lang w:val="en-US" w:eastAsia="zh-CN"/>
              </w:rPr>
              <w:t>严厉打击哄抬物价的行为，维护市场秩序，加强质量监控</w:t>
            </w:r>
            <w:r>
              <w:rPr>
                <w:rFonts w:hint="eastAsia" w:ascii="宋体" w:hAnsi="宋体" w:cs="宋体"/>
                <w:color w:val="auto"/>
                <w:sz w:val="24"/>
                <w:lang w:val="en-US" w:eastAsia="zh-CN"/>
              </w:rPr>
              <w:t>；</w:t>
            </w:r>
            <w:r>
              <w:rPr>
                <w:rFonts w:hint="default" w:ascii="宋体" w:hAnsi="宋体" w:cs="宋体"/>
                <w:color w:val="auto"/>
                <w:sz w:val="24"/>
                <w:lang w:val="en-US" w:eastAsia="zh-CN"/>
              </w:rPr>
              <w:t>承担县指挥部交办的其他事宜。</w:t>
            </w:r>
            <w:r>
              <w:rPr>
                <w:rFonts w:hint="eastAsia" w:ascii="宋体" w:hAnsi="宋体" w:cs="宋体"/>
                <w:color w:val="auto"/>
                <w:sz w:val="24"/>
              </w:rPr>
              <w:t>根据需要对导致突发公共卫生事件发生的经营行为采取临时管理措施；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0" w:hRule="atLeast"/>
          <w:jc w:val="center"/>
        </w:trPr>
        <w:tc>
          <w:tcPr>
            <w:tcW w:w="622" w:type="dxa"/>
            <w:vMerge w:val="continue"/>
            <w:vAlign w:val="center"/>
          </w:tcPr>
          <w:p>
            <w:pPr>
              <w:tabs>
                <w:tab w:val="left" w:pos="580"/>
              </w:tabs>
              <w:autoSpaceDE w:val="0"/>
              <w:autoSpaceDN w:val="0"/>
              <w:adjustRightInd w:val="0"/>
              <w:snapToGrid w:val="0"/>
              <w:jc w:val="center"/>
              <w:rPr>
                <w:rFonts w:hint="eastAsia" w:ascii="宋体" w:hAnsi="宋体" w:cs="宋体"/>
                <w:color w:val="auto"/>
                <w:kern w:val="0"/>
                <w:sz w:val="24"/>
              </w:rPr>
            </w:pPr>
          </w:p>
        </w:tc>
        <w:tc>
          <w:tcPr>
            <w:tcW w:w="2688" w:type="dxa"/>
            <w:vAlign w:val="center"/>
          </w:tcPr>
          <w:p>
            <w:pPr>
              <w:adjustRightInd w:val="0"/>
              <w:snapToGrid w:val="0"/>
              <w:jc w:val="center"/>
              <w:rPr>
                <w:rFonts w:hint="eastAsia" w:ascii="宋体" w:hAnsi="宋体" w:cs="宋体" w:eastAsiaTheme="minorEastAsia"/>
                <w:color w:val="auto"/>
                <w:kern w:val="2"/>
                <w:sz w:val="24"/>
                <w:szCs w:val="24"/>
                <w:lang w:val="en-US" w:eastAsia="zh-CN" w:bidi="ar-SA"/>
              </w:rPr>
            </w:pPr>
            <w:r>
              <w:rPr>
                <w:rFonts w:hint="eastAsia" w:ascii="宋体" w:hAnsi="宋体" w:cs="宋体"/>
                <w:color w:val="auto"/>
                <w:sz w:val="24"/>
                <w:lang w:eastAsia="zh-CN"/>
              </w:rPr>
              <w:t>县医保局</w:t>
            </w:r>
          </w:p>
        </w:tc>
        <w:tc>
          <w:tcPr>
            <w:tcW w:w="9987" w:type="dxa"/>
            <w:vAlign w:val="center"/>
          </w:tcPr>
          <w:p>
            <w:pPr>
              <w:adjustRightInd w:val="0"/>
              <w:snapToGrid w:val="0"/>
              <w:ind w:firstLine="480" w:firstLineChars="200"/>
              <w:rPr>
                <w:rFonts w:hint="eastAsia" w:ascii="宋体" w:hAnsi="宋体" w:cs="宋体" w:eastAsiaTheme="minorEastAsia"/>
                <w:color w:val="auto"/>
                <w:kern w:val="2"/>
                <w:sz w:val="24"/>
                <w:szCs w:val="24"/>
                <w:lang w:val="en-US" w:eastAsia="zh-CN" w:bidi="ar-SA"/>
              </w:rPr>
            </w:pPr>
            <w:r>
              <w:rPr>
                <w:rFonts w:hint="eastAsia" w:ascii="宋体" w:hAnsi="宋体" w:cs="宋体"/>
                <w:color w:val="auto"/>
                <w:sz w:val="24"/>
              </w:rPr>
              <w:t>负责指导实施突发公共卫生事件相关病例救治费用的医疗保障工作；将患者救治所需的医保目录外费用，临时纳入医保支付范围；对患者救治必需的药品和医用耗材开辟绿色（备案采购）通道，确保临床使用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622" w:type="dxa"/>
            <w:vMerge w:val="continue"/>
            <w:vAlign w:val="center"/>
          </w:tcPr>
          <w:p>
            <w:pPr>
              <w:tabs>
                <w:tab w:val="left" w:pos="580"/>
              </w:tabs>
              <w:autoSpaceDE w:val="0"/>
              <w:autoSpaceDN w:val="0"/>
              <w:adjustRightInd w:val="0"/>
              <w:snapToGrid w:val="0"/>
              <w:jc w:val="center"/>
              <w:rPr>
                <w:rFonts w:hint="eastAsia" w:ascii="宋体" w:hAnsi="宋体" w:cs="宋体"/>
                <w:color w:val="auto"/>
                <w:kern w:val="0"/>
                <w:sz w:val="24"/>
              </w:rPr>
            </w:pPr>
          </w:p>
        </w:tc>
        <w:tc>
          <w:tcPr>
            <w:tcW w:w="2688" w:type="dxa"/>
            <w:vAlign w:val="center"/>
          </w:tcPr>
          <w:p>
            <w:pPr>
              <w:adjustRightInd w:val="0"/>
              <w:snapToGrid w:val="0"/>
              <w:jc w:val="center"/>
              <w:rPr>
                <w:rFonts w:hint="eastAsia" w:ascii="宋体" w:hAnsi="宋体" w:cs="宋体"/>
                <w:color w:val="auto"/>
                <w:sz w:val="24"/>
                <w:lang w:eastAsia="zh-CN"/>
              </w:rPr>
            </w:pPr>
            <w:r>
              <w:rPr>
                <w:rFonts w:hint="eastAsia" w:ascii="宋体" w:hAnsi="宋体" w:cs="宋体"/>
                <w:color w:val="auto"/>
                <w:sz w:val="24"/>
                <w:lang w:eastAsia="zh-CN"/>
              </w:rPr>
              <w:t>县交警队</w:t>
            </w:r>
          </w:p>
        </w:tc>
        <w:tc>
          <w:tcPr>
            <w:tcW w:w="9987" w:type="dxa"/>
            <w:vAlign w:val="center"/>
          </w:tcPr>
          <w:p>
            <w:pPr>
              <w:adjustRightInd w:val="0"/>
              <w:snapToGrid w:val="0"/>
              <w:ind w:firstLine="480" w:firstLineChars="200"/>
              <w:rPr>
                <w:rFonts w:hint="eastAsia" w:ascii="宋体" w:hAnsi="宋体" w:cs="宋体"/>
                <w:color w:val="auto"/>
                <w:sz w:val="24"/>
              </w:rPr>
            </w:pPr>
            <w:r>
              <w:rPr>
                <w:rFonts w:hint="eastAsia" w:ascii="宋体" w:hAnsi="宋体" w:cs="宋体"/>
                <w:color w:val="auto"/>
                <w:sz w:val="24"/>
              </w:rPr>
              <w:t>做好交通疏导，保障突发公共卫生事件应急处置</w:t>
            </w:r>
            <w:r>
              <w:rPr>
                <w:rFonts w:hint="eastAsia" w:ascii="宋体" w:hAnsi="宋体" w:cs="宋体"/>
                <w:color w:val="auto"/>
                <w:sz w:val="24"/>
                <w:lang w:val="en-US" w:eastAsia="zh-CN"/>
              </w:rPr>
              <w:t>相关</w:t>
            </w:r>
            <w:r>
              <w:rPr>
                <w:rFonts w:hint="eastAsia" w:ascii="宋体" w:hAnsi="宋体" w:cs="宋体"/>
                <w:color w:val="auto"/>
                <w:sz w:val="24"/>
              </w:rPr>
              <w:t>车辆</w:t>
            </w:r>
            <w:r>
              <w:rPr>
                <w:rFonts w:hint="eastAsia" w:ascii="宋体" w:hAnsi="宋体" w:cs="宋体"/>
                <w:color w:val="auto"/>
                <w:sz w:val="24"/>
                <w:lang w:val="en-US" w:eastAsia="zh-CN"/>
              </w:rPr>
              <w:t>的</w:t>
            </w:r>
            <w:r>
              <w:rPr>
                <w:rFonts w:hint="eastAsia" w:ascii="宋体" w:hAnsi="宋体" w:cs="宋体"/>
                <w:color w:val="auto"/>
                <w:sz w:val="24"/>
              </w:rPr>
              <w:t>通行。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7" w:hRule="atLeast"/>
          <w:jc w:val="center"/>
        </w:trPr>
        <w:tc>
          <w:tcPr>
            <w:tcW w:w="622" w:type="dxa"/>
            <w:vMerge w:val="continue"/>
            <w:vAlign w:val="center"/>
          </w:tcPr>
          <w:p>
            <w:pPr>
              <w:tabs>
                <w:tab w:val="left" w:pos="580"/>
              </w:tabs>
              <w:autoSpaceDE w:val="0"/>
              <w:autoSpaceDN w:val="0"/>
              <w:adjustRightInd w:val="0"/>
              <w:snapToGrid w:val="0"/>
              <w:jc w:val="center"/>
              <w:rPr>
                <w:rFonts w:hint="eastAsia" w:ascii="宋体" w:hAnsi="宋体" w:cs="宋体"/>
                <w:color w:val="auto"/>
                <w:kern w:val="0"/>
                <w:sz w:val="24"/>
              </w:rPr>
            </w:pPr>
          </w:p>
        </w:tc>
        <w:tc>
          <w:tcPr>
            <w:tcW w:w="2688" w:type="dxa"/>
            <w:vAlign w:val="center"/>
          </w:tcPr>
          <w:p>
            <w:pPr>
              <w:adjustRightInd w:val="0"/>
              <w:snapToGrid w:val="0"/>
              <w:jc w:val="center"/>
              <w:rPr>
                <w:rFonts w:hint="eastAsia" w:ascii="宋体" w:hAnsi="宋体" w:cs="宋体"/>
                <w:color w:val="auto"/>
                <w:sz w:val="24"/>
                <w:lang w:eastAsia="zh-CN"/>
              </w:rPr>
            </w:pPr>
            <w:r>
              <w:rPr>
                <w:rFonts w:hint="eastAsia" w:ascii="宋体" w:hAnsi="宋体" w:cs="宋体"/>
                <w:color w:val="auto"/>
                <w:sz w:val="24"/>
                <w:lang w:eastAsia="zh-CN"/>
              </w:rPr>
              <w:t>县红十字会</w:t>
            </w:r>
          </w:p>
        </w:tc>
        <w:tc>
          <w:tcPr>
            <w:tcW w:w="9987" w:type="dxa"/>
            <w:vAlign w:val="center"/>
          </w:tcPr>
          <w:p>
            <w:pPr>
              <w:adjustRightInd w:val="0"/>
              <w:snapToGrid w:val="0"/>
              <w:ind w:firstLine="480" w:firstLineChars="200"/>
              <w:rPr>
                <w:rFonts w:hint="eastAsia" w:ascii="宋体" w:hAnsi="宋体" w:cs="宋体"/>
                <w:color w:val="auto"/>
                <w:sz w:val="24"/>
                <w:highlight w:val="red"/>
              </w:rPr>
            </w:pPr>
            <w:r>
              <w:rPr>
                <w:rFonts w:hint="eastAsia" w:ascii="宋体" w:hAnsi="宋体" w:cs="宋体"/>
                <w:color w:val="auto"/>
                <w:sz w:val="24"/>
              </w:rPr>
              <w:t>根据突发公共卫生事件的具体情况，向社会发出紧急救助呼吁，依法接受国内外组织和个人的捐赠，并依据有关规定分配募捐款物；组织公众和志愿者服务团队开展初级卫生救护和急需的人道主义援助。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jc w:val="center"/>
        </w:trPr>
        <w:tc>
          <w:tcPr>
            <w:tcW w:w="622" w:type="dxa"/>
            <w:vMerge w:val="continue"/>
            <w:vAlign w:val="center"/>
          </w:tcPr>
          <w:p>
            <w:pPr>
              <w:tabs>
                <w:tab w:val="left" w:pos="580"/>
              </w:tabs>
              <w:autoSpaceDE w:val="0"/>
              <w:autoSpaceDN w:val="0"/>
              <w:adjustRightInd w:val="0"/>
              <w:snapToGrid w:val="0"/>
              <w:jc w:val="center"/>
              <w:rPr>
                <w:rFonts w:hint="eastAsia" w:ascii="宋体" w:hAnsi="宋体" w:cs="宋体"/>
                <w:color w:val="auto"/>
                <w:kern w:val="0"/>
                <w:sz w:val="24"/>
              </w:rPr>
            </w:pPr>
          </w:p>
        </w:tc>
        <w:tc>
          <w:tcPr>
            <w:tcW w:w="2688" w:type="dxa"/>
            <w:vAlign w:val="center"/>
          </w:tcPr>
          <w:p>
            <w:pPr>
              <w:adjustRightInd w:val="0"/>
              <w:snapToGrid w:val="0"/>
              <w:jc w:val="center"/>
              <w:rPr>
                <w:rFonts w:hint="eastAsia" w:ascii="宋体" w:hAnsi="宋体" w:cs="宋体"/>
                <w:color w:val="auto"/>
                <w:sz w:val="24"/>
                <w:lang w:eastAsia="zh-CN"/>
              </w:rPr>
            </w:pPr>
            <w:r>
              <w:rPr>
                <w:rFonts w:hint="eastAsia" w:ascii="宋体" w:hAnsi="宋体" w:cs="宋体"/>
                <w:color w:val="auto"/>
                <w:sz w:val="24"/>
                <w:lang w:val="en-US" w:eastAsia="zh-CN"/>
              </w:rPr>
              <w:t>县融媒体中心</w:t>
            </w:r>
          </w:p>
        </w:tc>
        <w:tc>
          <w:tcPr>
            <w:tcW w:w="9987" w:type="dxa"/>
            <w:vAlign w:val="center"/>
          </w:tcPr>
          <w:p>
            <w:pPr>
              <w:adjustRightInd w:val="0"/>
              <w:snapToGrid w:val="0"/>
              <w:ind w:firstLine="480" w:firstLineChars="200"/>
              <w:rPr>
                <w:rFonts w:hint="eastAsia" w:ascii="宋体" w:hAnsi="宋体" w:cs="宋体"/>
                <w:color w:val="auto"/>
                <w:sz w:val="24"/>
              </w:rPr>
            </w:pPr>
            <w:r>
              <w:rPr>
                <w:rFonts w:hint="eastAsia" w:ascii="宋体" w:hAnsi="宋体" w:cs="宋体"/>
                <w:color w:val="auto"/>
                <w:sz w:val="24"/>
                <w:lang w:val="en-US" w:eastAsia="zh-CN"/>
              </w:rPr>
              <w:t>在</w:t>
            </w:r>
            <w:r>
              <w:rPr>
                <w:rFonts w:hint="eastAsia" w:ascii="宋体" w:hAnsi="宋体" w:cs="宋体"/>
                <w:color w:val="auto"/>
                <w:sz w:val="24"/>
                <w:lang w:eastAsia="zh-CN"/>
              </w:rPr>
              <w:t>县</w:t>
            </w:r>
            <w:r>
              <w:rPr>
                <w:rFonts w:hint="eastAsia" w:ascii="宋体" w:hAnsi="宋体" w:cs="宋体"/>
                <w:color w:val="auto"/>
                <w:sz w:val="24"/>
              </w:rPr>
              <w:t>委宣传部</w:t>
            </w:r>
            <w:r>
              <w:rPr>
                <w:rFonts w:hint="eastAsia" w:ascii="宋体" w:hAnsi="宋体" w:cs="宋体"/>
                <w:color w:val="auto"/>
                <w:sz w:val="24"/>
                <w:lang w:val="en-US" w:eastAsia="zh-CN"/>
              </w:rPr>
              <w:t>的领导下，做好</w:t>
            </w:r>
            <w:r>
              <w:rPr>
                <w:rFonts w:hint="eastAsia" w:ascii="宋体" w:hAnsi="宋体" w:cs="宋体"/>
                <w:color w:val="auto"/>
                <w:sz w:val="24"/>
              </w:rPr>
              <w:t>突发公共卫生事件</w:t>
            </w:r>
            <w:r>
              <w:rPr>
                <w:rFonts w:hint="eastAsia" w:ascii="宋体" w:hAnsi="宋体" w:cs="宋体"/>
                <w:color w:val="auto"/>
                <w:sz w:val="24"/>
                <w:lang w:val="en-US" w:eastAsia="zh-CN"/>
              </w:rPr>
              <w:t>的</w:t>
            </w:r>
            <w:r>
              <w:rPr>
                <w:rFonts w:hint="eastAsia" w:ascii="宋体" w:hAnsi="宋体" w:cs="宋体"/>
                <w:color w:val="auto"/>
                <w:sz w:val="24"/>
              </w:rPr>
              <w:t>新闻报道</w:t>
            </w:r>
            <w:r>
              <w:rPr>
                <w:rFonts w:hint="eastAsia" w:ascii="宋体" w:hAnsi="宋体" w:cs="宋体"/>
                <w:color w:val="auto"/>
                <w:sz w:val="24"/>
                <w:lang w:val="en-US" w:eastAsia="zh-CN"/>
              </w:rPr>
              <w:t>工作，</w:t>
            </w:r>
            <w:r>
              <w:rPr>
                <w:rFonts w:hint="eastAsia" w:ascii="宋体" w:hAnsi="宋体" w:cs="宋体"/>
                <w:color w:val="auto"/>
                <w:sz w:val="24"/>
              </w:rPr>
              <w:t>防病知识</w:t>
            </w:r>
            <w:r>
              <w:rPr>
                <w:rFonts w:hint="eastAsia" w:ascii="宋体" w:hAnsi="宋体" w:cs="宋体"/>
                <w:color w:val="auto"/>
                <w:sz w:val="24"/>
                <w:lang w:eastAsia="zh-CN"/>
              </w:rPr>
              <w:t>、</w:t>
            </w:r>
            <w:r>
              <w:rPr>
                <w:rFonts w:hint="eastAsia" w:ascii="宋体" w:hAnsi="宋体" w:cs="宋体"/>
                <w:color w:val="auto"/>
                <w:sz w:val="24"/>
                <w:lang w:val="en-US" w:eastAsia="zh-CN"/>
              </w:rPr>
              <w:t>个人防护知识和相关政策、应急措施等内容的</w:t>
            </w:r>
            <w:r>
              <w:rPr>
                <w:rFonts w:hint="eastAsia" w:ascii="宋体" w:hAnsi="宋体" w:cs="宋体"/>
                <w:color w:val="auto"/>
                <w:sz w:val="24"/>
              </w:rPr>
              <w:t>宣传报道</w:t>
            </w:r>
            <w:r>
              <w:rPr>
                <w:rFonts w:hint="eastAsia" w:ascii="宋体" w:hAnsi="宋体" w:cs="宋体"/>
                <w:color w:val="auto"/>
                <w:sz w:val="24"/>
                <w:lang w:val="en-US" w:eastAsia="zh-CN"/>
              </w:rPr>
              <w:t>工作等。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622" w:type="dxa"/>
            <w:vMerge w:val="continue"/>
            <w:vAlign w:val="center"/>
          </w:tcPr>
          <w:p>
            <w:pPr>
              <w:tabs>
                <w:tab w:val="left" w:pos="580"/>
              </w:tabs>
              <w:autoSpaceDE w:val="0"/>
              <w:autoSpaceDN w:val="0"/>
              <w:adjustRightInd w:val="0"/>
              <w:snapToGrid w:val="0"/>
              <w:jc w:val="center"/>
              <w:rPr>
                <w:rFonts w:hint="eastAsia" w:ascii="宋体" w:hAnsi="宋体" w:cs="宋体"/>
                <w:color w:val="auto"/>
                <w:kern w:val="0"/>
                <w:sz w:val="24"/>
              </w:rPr>
            </w:pPr>
          </w:p>
        </w:tc>
        <w:tc>
          <w:tcPr>
            <w:tcW w:w="2688" w:type="dxa"/>
            <w:vAlign w:val="center"/>
          </w:tcPr>
          <w:p>
            <w:pPr>
              <w:adjustRightInd w:val="0"/>
              <w:snapToGrid w:val="0"/>
              <w:jc w:val="center"/>
              <w:rPr>
                <w:rFonts w:hint="default" w:ascii="宋体" w:hAnsi="宋体" w:cs="宋体"/>
                <w:color w:val="auto"/>
                <w:sz w:val="24"/>
                <w:lang w:val="en-US" w:eastAsia="zh-CN"/>
              </w:rPr>
            </w:pPr>
            <w:r>
              <w:rPr>
                <w:rFonts w:hint="eastAsia" w:ascii="宋体" w:hAnsi="宋体" w:cs="宋体"/>
                <w:color w:val="auto"/>
                <w:sz w:val="24"/>
                <w:lang w:val="en-US" w:eastAsia="zh-CN"/>
              </w:rPr>
              <w:t>人武部</w:t>
            </w:r>
          </w:p>
        </w:tc>
        <w:tc>
          <w:tcPr>
            <w:tcW w:w="9987" w:type="dxa"/>
            <w:vAlign w:val="center"/>
          </w:tcPr>
          <w:p>
            <w:pPr>
              <w:adjustRightInd w:val="0"/>
              <w:snapToGrid w:val="0"/>
              <w:ind w:firstLine="480" w:firstLineChars="200"/>
              <w:rPr>
                <w:rFonts w:hint="default" w:ascii="宋体" w:hAnsi="宋体" w:cs="宋体" w:eastAsiaTheme="minorEastAsia"/>
                <w:color w:val="auto"/>
                <w:sz w:val="24"/>
                <w:lang w:val="en-US" w:eastAsia="zh-CN"/>
              </w:rPr>
            </w:pPr>
            <w:r>
              <w:rPr>
                <w:rFonts w:hint="eastAsia" w:ascii="宋体" w:hAnsi="宋体" w:cs="宋体"/>
                <w:color w:val="auto"/>
                <w:sz w:val="24"/>
                <w:lang w:val="en-US" w:eastAsia="zh-CN"/>
              </w:rPr>
              <w:t>负责军队系统突发公共卫生事件应急处置工作，组织协调当地驻军、民兵、预备役部队参加突发公共卫生事件应急处置工作。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jc w:val="center"/>
        </w:trPr>
        <w:tc>
          <w:tcPr>
            <w:tcW w:w="622" w:type="dxa"/>
            <w:vMerge w:val="continue"/>
            <w:vAlign w:val="center"/>
          </w:tcPr>
          <w:p>
            <w:pPr>
              <w:tabs>
                <w:tab w:val="left" w:pos="580"/>
              </w:tabs>
              <w:autoSpaceDE w:val="0"/>
              <w:autoSpaceDN w:val="0"/>
              <w:adjustRightInd w:val="0"/>
              <w:snapToGrid w:val="0"/>
              <w:jc w:val="center"/>
              <w:rPr>
                <w:rFonts w:hint="eastAsia" w:ascii="宋体" w:hAnsi="宋体" w:cs="宋体"/>
                <w:color w:val="auto"/>
                <w:kern w:val="0"/>
                <w:sz w:val="24"/>
              </w:rPr>
            </w:pPr>
          </w:p>
        </w:tc>
        <w:tc>
          <w:tcPr>
            <w:tcW w:w="2688" w:type="dxa"/>
            <w:vAlign w:val="center"/>
          </w:tcPr>
          <w:p>
            <w:pPr>
              <w:adjustRightInd w:val="0"/>
              <w:snapToGrid w:val="0"/>
              <w:jc w:val="center"/>
              <w:rPr>
                <w:rFonts w:hint="eastAsia" w:ascii="宋体" w:hAnsi="宋体" w:cs="宋体"/>
                <w:color w:val="auto"/>
                <w:sz w:val="24"/>
                <w:lang w:eastAsia="zh-CN"/>
              </w:rPr>
            </w:pPr>
            <w:r>
              <w:rPr>
                <w:rFonts w:hint="eastAsia" w:ascii="宋体" w:hAnsi="宋体" w:cs="宋体"/>
                <w:color w:val="auto"/>
                <w:sz w:val="24"/>
                <w:lang w:eastAsia="zh-CN"/>
              </w:rPr>
              <w:t>武警夏县中队</w:t>
            </w:r>
          </w:p>
        </w:tc>
        <w:tc>
          <w:tcPr>
            <w:tcW w:w="9987" w:type="dxa"/>
            <w:vAlign w:val="center"/>
          </w:tcPr>
          <w:p>
            <w:pPr>
              <w:adjustRightInd w:val="0"/>
              <w:snapToGrid w:val="0"/>
              <w:ind w:firstLine="480" w:firstLineChars="200"/>
              <w:rPr>
                <w:rFonts w:hint="eastAsia" w:ascii="宋体" w:hAnsi="宋体" w:cs="宋体"/>
                <w:color w:val="auto"/>
                <w:sz w:val="24"/>
              </w:rPr>
            </w:pPr>
            <w:r>
              <w:rPr>
                <w:rFonts w:hint="eastAsia" w:ascii="宋体" w:hAnsi="宋体" w:cs="宋体"/>
                <w:color w:val="auto"/>
                <w:sz w:val="24"/>
              </w:rPr>
              <w:t>负责本</w:t>
            </w:r>
            <w:r>
              <w:rPr>
                <w:rFonts w:hint="eastAsia" w:ascii="宋体" w:hAnsi="宋体" w:cs="宋体"/>
                <w:color w:val="auto"/>
                <w:sz w:val="24"/>
                <w:lang w:eastAsia="zh-CN"/>
              </w:rPr>
              <w:t>中</w:t>
            </w:r>
            <w:r>
              <w:rPr>
                <w:rFonts w:hint="eastAsia" w:ascii="宋体" w:hAnsi="宋体" w:cs="宋体"/>
                <w:color w:val="auto"/>
                <w:sz w:val="24"/>
              </w:rPr>
              <w:t>队突发公共卫生事件应急处置工作，组织指挥所属部队参与突发公共卫生事件应对，配合公安机关做好事件现场的控制工作。</w:t>
            </w:r>
          </w:p>
        </w:tc>
      </w:tr>
    </w:tbl>
    <w:p>
      <w:pPr>
        <w:pStyle w:val="6"/>
        <w:rPr>
          <w:color w:val="auto"/>
        </w:rPr>
      </w:pP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eastAsia" w:ascii="黑体" w:hAnsi="黑体" w:eastAsia="黑体" w:cs="黑体"/>
          <w:color w:val="auto"/>
          <w:sz w:val="32"/>
          <w:szCs w:val="32"/>
          <w:lang w:val="en"/>
        </w:rPr>
      </w:pPr>
      <w:r>
        <w:rPr>
          <w:rFonts w:hint="eastAsia" w:ascii="黑体" w:hAnsi="黑体" w:eastAsia="黑体" w:cs="黑体"/>
          <w:color w:val="auto"/>
          <w:sz w:val="32"/>
          <w:szCs w:val="32"/>
        </w:rPr>
        <w:br w:type="page"/>
      </w:r>
      <w:r>
        <w:rPr>
          <w:rFonts w:hint="eastAsia" w:ascii="黑体" w:hAnsi="黑体" w:eastAsia="黑体" w:cs="黑体"/>
          <w:color w:val="auto"/>
          <w:sz w:val="32"/>
          <w:szCs w:val="32"/>
        </w:rPr>
        <w:t>附件</w:t>
      </w:r>
      <w:r>
        <w:rPr>
          <w:rFonts w:hint="eastAsia" w:ascii="黑体" w:hAnsi="黑体" w:eastAsia="黑体" w:cs="黑体"/>
          <w:color w:val="auto"/>
          <w:sz w:val="32"/>
          <w:szCs w:val="32"/>
          <w:lang w:val="en"/>
        </w:rPr>
        <w:t>3</w:t>
      </w:r>
    </w:p>
    <w:p>
      <w:pPr>
        <w:keepNext w:val="0"/>
        <w:keepLines w:val="0"/>
        <w:pageBreakBefore w:val="0"/>
        <w:widowControl w:val="0"/>
        <w:kinsoku/>
        <w:wordWrap/>
        <w:overflowPunct/>
        <w:topLinePunct w:val="0"/>
        <w:autoSpaceDE/>
        <w:autoSpaceDN/>
        <w:bidi w:val="0"/>
        <w:adjustRightInd w:val="0"/>
        <w:snapToGrid w:val="0"/>
        <w:spacing w:after="132" w:afterLines="40" w:line="650" w:lineRule="exact"/>
        <w:jc w:val="center"/>
        <w:textAlignment w:val="auto"/>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lang w:eastAsia="zh-CN"/>
        </w:rPr>
        <w:t>夏县</w:t>
      </w:r>
      <w:r>
        <w:rPr>
          <w:rFonts w:hint="eastAsia" w:ascii="方正小标宋简体" w:hAnsi="方正小标宋简体" w:eastAsia="方正小标宋简体" w:cs="方正小标宋简体"/>
          <w:color w:val="auto"/>
          <w:sz w:val="44"/>
          <w:szCs w:val="44"/>
        </w:rPr>
        <w:t>突发公共卫生事件应急指挥部专项工作组组成及职责</w:t>
      </w:r>
    </w:p>
    <w:tbl>
      <w:tblPr>
        <w:tblStyle w:val="7"/>
        <w:tblW w:w="136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9"/>
        <w:gridCol w:w="1311"/>
        <w:gridCol w:w="4111"/>
        <w:gridCol w:w="70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jc w:val="center"/>
        </w:trPr>
        <w:tc>
          <w:tcPr>
            <w:tcW w:w="1159" w:type="dxa"/>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工作组</w:t>
            </w:r>
          </w:p>
        </w:tc>
        <w:tc>
          <w:tcPr>
            <w:tcW w:w="5422" w:type="dxa"/>
            <w:gridSpan w:val="2"/>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工作组设置</w:t>
            </w:r>
          </w:p>
        </w:tc>
        <w:tc>
          <w:tcPr>
            <w:tcW w:w="7097" w:type="dxa"/>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主要职责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1159" w:type="dxa"/>
            <w:vMerge w:val="restart"/>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综合组</w:t>
            </w:r>
          </w:p>
        </w:tc>
        <w:tc>
          <w:tcPr>
            <w:tcW w:w="1311" w:type="dxa"/>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牵头部门</w:t>
            </w:r>
          </w:p>
        </w:tc>
        <w:tc>
          <w:tcPr>
            <w:tcW w:w="4111" w:type="dxa"/>
            <w:vAlign w:val="center"/>
          </w:tcPr>
          <w:p>
            <w:pPr>
              <w:keepNext w:val="0"/>
              <w:keepLines w:val="0"/>
              <w:pageBreakBefore w:val="0"/>
              <w:widowControl/>
              <w:kinsoku/>
              <w:wordWrap/>
              <w:overflowPunct/>
              <w:topLinePunct w:val="0"/>
              <w:autoSpaceDE/>
              <w:autoSpaceDN/>
              <w:bidi w:val="0"/>
              <w:adjustRightInd w:val="0"/>
              <w:snapToGrid w:val="0"/>
              <w:spacing w:after="0" w:line="280" w:lineRule="exact"/>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lang w:val="en-US" w:eastAsia="zh-CN"/>
              </w:rPr>
              <w:t>县卫体局</w:t>
            </w:r>
          </w:p>
        </w:tc>
        <w:tc>
          <w:tcPr>
            <w:tcW w:w="7097" w:type="dxa"/>
            <w:vMerge w:val="restart"/>
            <w:vAlign w:val="center"/>
          </w:tcPr>
          <w:p>
            <w:pPr>
              <w:keepNext w:val="0"/>
              <w:keepLines w:val="0"/>
              <w:pageBreakBefore w:val="0"/>
              <w:kinsoku/>
              <w:wordWrap/>
              <w:overflowPunct/>
              <w:topLinePunct w:val="0"/>
              <w:autoSpaceDE/>
              <w:autoSpaceDN/>
              <w:bidi w:val="0"/>
              <w:adjustRightInd w:val="0"/>
              <w:snapToGrid w:val="0"/>
              <w:spacing w:line="28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强化</w:t>
            </w:r>
            <w:r>
              <w:rPr>
                <w:rFonts w:hint="eastAsia" w:ascii="宋体" w:hAnsi="宋体" w:eastAsia="宋体" w:cs="宋体"/>
                <w:color w:val="auto"/>
                <w:sz w:val="24"/>
                <w:szCs w:val="24"/>
                <w:lang w:val="en-US" w:eastAsia="zh-CN"/>
              </w:rPr>
              <w:t>有关</w:t>
            </w:r>
            <w:r>
              <w:rPr>
                <w:rFonts w:hint="eastAsia" w:ascii="宋体" w:hAnsi="宋体" w:eastAsia="宋体" w:cs="宋体"/>
                <w:color w:val="auto"/>
                <w:sz w:val="24"/>
                <w:szCs w:val="24"/>
              </w:rPr>
              <w:t>领域突发公共卫生事件应急监测；开展信息互通、技术互援，会商共识，协同施策，防范化解公共卫生风险；组织实施部门间综合研判，向</w:t>
            </w:r>
            <w:r>
              <w:rPr>
                <w:rFonts w:hint="eastAsia" w:ascii="宋体" w:hAnsi="宋体" w:eastAsia="宋体" w:cs="宋体"/>
                <w:color w:val="auto"/>
                <w:sz w:val="24"/>
                <w:szCs w:val="24"/>
                <w:lang w:eastAsia="zh-CN"/>
              </w:rPr>
              <w:t>县</w:t>
            </w:r>
            <w:r>
              <w:rPr>
                <w:rFonts w:hint="eastAsia" w:ascii="宋体" w:hAnsi="宋体" w:eastAsia="宋体" w:cs="宋体"/>
                <w:color w:val="auto"/>
                <w:sz w:val="24"/>
                <w:szCs w:val="24"/>
              </w:rPr>
              <w:t>指挥部及办公室提出预警、响应的相关意见、建议和策略、措施；承担</w:t>
            </w:r>
            <w:r>
              <w:rPr>
                <w:rFonts w:hint="eastAsia" w:ascii="宋体" w:hAnsi="宋体" w:eastAsia="宋体" w:cs="宋体"/>
                <w:color w:val="auto"/>
                <w:sz w:val="24"/>
                <w:szCs w:val="24"/>
                <w:lang w:eastAsia="zh-CN"/>
              </w:rPr>
              <w:t>县</w:t>
            </w:r>
            <w:r>
              <w:rPr>
                <w:rFonts w:hint="eastAsia" w:ascii="宋体" w:hAnsi="宋体" w:eastAsia="宋体" w:cs="宋体"/>
                <w:color w:val="auto"/>
                <w:sz w:val="24"/>
                <w:szCs w:val="24"/>
              </w:rPr>
              <w:t>指挥部交办的其他事宜。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3" w:hRule="atLeast"/>
          <w:jc w:val="center"/>
        </w:trPr>
        <w:tc>
          <w:tcPr>
            <w:tcW w:w="1159" w:type="dxa"/>
            <w:vMerge w:val="continue"/>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rPr>
                <w:rFonts w:hint="eastAsia" w:ascii="宋体" w:hAnsi="宋体" w:eastAsia="宋体" w:cs="宋体"/>
                <w:color w:val="auto"/>
                <w:sz w:val="24"/>
                <w:szCs w:val="24"/>
              </w:rPr>
            </w:pPr>
          </w:p>
        </w:tc>
        <w:tc>
          <w:tcPr>
            <w:tcW w:w="1311" w:type="dxa"/>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成员单位</w:t>
            </w:r>
          </w:p>
        </w:tc>
        <w:tc>
          <w:tcPr>
            <w:tcW w:w="4111" w:type="dxa"/>
            <w:vAlign w:val="center"/>
          </w:tcPr>
          <w:p>
            <w:pPr>
              <w:keepNext w:val="0"/>
              <w:keepLines w:val="0"/>
              <w:pageBreakBefore w:val="0"/>
              <w:widowControl w:val="0"/>
              <w:kinsoku/>
              <w:wordWrap/>
              <w:overflowPunct/>
              <w:topLinePunct w:val="0"/>
              <w:autoSpaceDE/>
              <w:autoSpaceDN/>
              <w:bidi w:val="0"/>
              <w:adjustRightInd w:val="0"/>
              <w:snapToGrid w:val="0"/>
              <w:spacing w:before="165" w:beforeLines="50" w:line="280" w:lineRule="exact"/>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lang w:eastAsia="zh-CN"/>
              </w:rPr>
              <w:t>县</w:t>
            </w:r>
            <w:r>
              <w:rPr>
                <w:rFonts w:hint="eastAsia" w:ascii="宋体" w:hAnsi="宋体" w:eastAsia="宋体" w:cs="宋体"/>
                <w:color w:val="auto"/>
                <w:sz w:val="24"/>
                <w:szCs w:val="24"/>
              </w:rPr>
              <w:t>委宣传部、</w:t>
            </w:r>
            <w:r>
              <w:rPr>
                <w:rFonts w:hint="eastAsia" w:ascii="宋体" w:hAnsi="宋体" w:eastAsia="宋体" w:cs="宋体"/>
                <w:color w:val="auto"/>
                <w:sz w:val="24"/>
                <w:szCs w:val="24"/>
                <w:lang w:eastAsia="zh-CN"/>
              </w:rPr>
              <w:t>县</w:t>
            </w:r>
            <w:r>
              <w:rPr>
                <w:rFonts w:hint="eastAsia" w:ascii="宋体" w:hAnsi="宋体" w:eastAsia="宋体" w:cs="宋体"/>
                <w:color w:val="auto"/>
                <w:sz w:val="24"/>
                <w:szCs w:val="24"/>
              </w:rPr>
              <w:t>农业农村局、</w:t>
            </w:r>
            <w:r>
              <w:rPr>
                <w:rFonts w:hint="eastAsia" w:ascii="宋体" w:hAnsi="宋体" w:eastAsia="宋体" w:cs="宋体"/>
                <w:color w:val="auto"/>
                <w:sz w:val="24"/>
                <w:szCs w:val="24"/>
                <w:lang w:val="en-US" w:eastAsia="zh-CN"/>
              </w:rPr>
              <w:t>县林业局、</w:t>
            </w:r>
            <w:r>
              <w:rPr>
                <w:rFonts w:hint="eastAsia" w:ascii="宋体" w:hAnsi="宋体" w:eastAsia="宋体" w:cs="宋体"/>
                <w:color w:val="auto"/>
                <w:sz w:val="24"/>
                <w:szCs w:val="24"/>
                <w:lang w:eastAsia="zh-CN"/>
              </w:rPr>
              <w:t>县</w:t>
            </w:r>
            <w:r>
              <w:rPr>
                <w:rFonts w:hint="eastAsia" w:ascii="宋体" w:hAnsi="宋体" w:eastAsia="宋体" w:cs="宋体"/>
                <w:color w:val="auto"/>
                <w:sz w:val="24"/>
                <w:szCs w:val="24"/>
              </w:rPr>
              <w:t>文旅局、</w:t>
            </w:r>
            <w:r>
              <w:rPr>
                <w:rFonts w:hint="eastAsia" w:ascii="宋体" w:hAnsi="宋体" w:eastAsia="宋体" w:cs="宋体"/>
                <w:color w:val="auto"/>
                <w:sz w:val="24"/>
                <w:szCs w:val="24"/>
                <w:lang w:eastAsia="zh-CN"/>
              </w:rPr>
              <w:t>县</w:t>
            </w:r>
            <w:r>
              <w:rPr>
                <w:rFonts w:hint="eastAsia" w:ascii="宋体" w:hAnsi="宋体" w:eastAsia="宋体" w:cs="宋体"/>
                <w:color w:val="auto"/>
                <w:sz w:val="24"/>
                <w:szCs w:val="24"/>
              </w:rPr>
              <w:t>应急</w:t>
            </w:r>
            <w:r>
              <w:rPr>
                <w:rFonts w:hint="eastAsia" w:ascii="宋体" w:hAnsi="宋体" w:eastAsia="宋体" w:cs="宋体"/>
                <w:color w:val="auto"/>
                <w:sz w:val="24"/>
                <w:szCs w:val="24"/>
                <w:lang w:eastAsia="zh-CN"/>
              </w:rPr>
              <w:t>管理</w:t>
            </w:r>
            <w:r>
              <w:rPr>
                <w:rFonts w:hint="eastAsia" w:ascii="宋体" w:hAnsi="宋体" w:eastAsia="宋体" w:cs="宋体"/>
                <w:color w:val="auto"/>
                <w:sz w:val="24"/>
                <w:szCs w:val="24"/>
              </w:rPr>
              <w:t>局、</w:t>
            </w:r>
            <w:r>
              <w:rPr>
                <w:rFonts w:hint="eastAsia" w:ascii="宋体" w:hAnsi="宋体" w:eastAsia="宋体" w:cs="宋体"/>
                <w:color w:val="auto"/>
                <w:sz w:val="24"/>
                <w:szCs w:val="24"/>
                <w:lang w:eastAsia="zh-CN"/>
              </w:rPr>
              <w:t>县</w:t>
            </w:r>
            <w:r>
              <w:rPr>
                <w:rFonts w:hint="eastAsia" w:ascii="宋体" w:hAnsi="宋体" w:eastAsia="宋体" w:cs="宋体"/>
                <w:color w:val="auto"/>
                <w:sz w:val="24"/>
                <w:szCs w:val="24"/>
              </w:rPr>
              <w:t>市场监管局</w:t>
            </w:r>
          </w:p>
        </w:tc>
        <w:tc>
          <w:tcPr>
            <w:tcW w:w="7097" w:type="dxa"/>
            <w:vMerge w:val="continue"/>
            <w:vAlign w:val="center"/>
          </w:tcPr>
          <w:p>
            <w:pPr>
              <w:keepNext w:val="0"/>
              <w:keepLines w:val="0"/>
              <w:pageBreakBefore w:val="0"/>
              <w:kinsoku/>
              <w:wordWrap/>
              <w:overflowPunct/>
              <w:topLinePunct w:val="0"/>
              <w:autoSpaceDE/>
              <w:autoSpaceDN/>
              <w:bidi w:val="0"/>
              <w:adjustRightInd w:val="0"/>
              <w:snapToGrid w:val="0"/>
              <w:spacing w:line="280" w:lineRule="exact"/>
              <w:ind w:firstLine="480" w:firstLineChars="200"/>
              <w:textAlignment w:val="auto"/>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1159" w:type="dxa"/>
            <w:vMerge w:val="restart"/>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防控救治组</w:t>
            </w:r>
          </w:p>
        </w:tc>
        <w:tc>
          <w:tcPr>
            <w:tcW w:w="1311" w:type="dxa"/>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牵头部门</w:t>
            </w:r>
          </w:p>
        </w:tc>
        <w:tc>
          <w:tcPr>
            <w:tcW w:w="4111" w:type="dxa"/>
            <w:vAlign w:val="center"/>
          </w:tcPr>
          <w:p>
            <w:pPr>
              <w:keepNext w:val="0"/>
              <w:keepLines w:val="0"/>
              <w:pageBreakBefore w:val="0"/>
              <w:widowControl/>
              <w:kinsoku/>
              <w:wordWrap/>
              <w:overflowPunct/>
              <w:topLinePunct w:val="0"/>
              <w:autoSpaceDE/>
              <w:autoSpaceDN/>
              <w:bidi w:val="0"/>
              <w:adjustRightInd w:val="0"/>
              <w:snapToGrid w:val="0"/>
              <w:spacing w:after="0" w:line="280" w:lineRule="exact"/>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lang w:val="en-US" w:eastAsia="zh-CN"/>
              </w:rPr>
              <w:t>县卫体局</w:t>
            </w:r>
          </w:p>
        </w:tc>
        <w:tc>
          <w:tcPr>
            <w:tcW w:w="7097" w:type="dxa"/>
            <w:vMerge w:val="restart"/>
            <w:vAlign w:val="center"/>
          </w:tcPr>
          <w:p>
            <w:pPr>
              <w:keepNext w:val="0"/>
              <w:keepLines w:val="0"/>
              <w:pageBreakBefore w:val="0"/>
              <w:kinsoku/>
              <w:wordWrap/>
              <w:overflowPunct/>
              <w:topLinePunct w:val="0"/>
              <w:autoSpaceDE/>
              <w:autoSpaceDN/>
              <w:bidi w:val="0"/>
              <w:adjustRightInd w:val="0"/>
              <w:snapToGrid w:val="0"/>
              <w:spacing w:line="28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负责组织制定和修订突发公共卫生事件相关诊疗和防控技术方案；组织落实各项医疗救治和疾病防控措施，对措施落实情况进行督导检查；组织</w:t>
            </w:r>
            <w:r>
              <w:rPr>
                <w:rFonts w:hint="eastAsia" w:ascii="宋体" w:hAnsi="宋体" w:eastAsia="宋体" w:cs="宋体"/>
                <w:color w:val="auto"/>
                <w:spacing w:val="-4"/>
                <w:sz w:val="24"/>
                <w:szCs w:val="24"/>
              </w:rPr>
              <w:t>开展溯源和病原（媒介）调查排查，实施防治效果动态评价，并向</w:t>
            </w:r>
            <w:r>
              <w:rPr>
                <w:rFonts w:hint="eastAsia" w:ascii="宋体" w:hAnsi="宋体" w:eastAsia="宋体" w:cs="宋体"/>
                <w:color w:val="auto"/>
                <w:spacing w:val="-4"/>
                <w:sz w:val="24"/>
                <w:szCs w:val="24"/>
                <w:lang w:eastAsia="zh-CN"/>
              </w:rPr>
              <w:t>县</w:t>
            </w:r>
            <w:r>
              <w:rPr>
                <w:rFonts w:hint="eastAsia" w:ascii="宋体" w:hAnsi="宋体" w:eastAsia="宋体" w:cs="宋体"/>
                <w:color w:val="auto"/>
                <w:spacing w:val="-4"/>
                <w:sz w:val="24"/>
                <w:szCs w:val="24"/>
              </w:rPr>
              <w:t>指挥部提出强化或调整有关措施的意见、建议；组织和指导参与处置人员实施个人防护；组织实施医疗救治和疾病防控应急培训；协调、解决医疗救治和疾病防控工作的困难、问题。承担</w:t>
            </w:r>
            <w:r>
              <w:rPr>
                <w:rFonts w:hint="eastAsia" w:ascii="宋体" w:hAnsi="宋体" w:eastAsia="宋体" w:cs="宋体"/>
                <w:color w:val="auto"/>
                <w:spacing w:val="-4"/>
                <w:sz w:val="24"/>
                <w:szCs w:val="24"/>
                <w:lang w:eastAsia="zh-CN"/>
              </w:rPr>
              <w:t>县</w:t>
            </w:r>
            <w:r>
              <w:rPr>
                <w:rFonts w:hint="eastAsia" w:ascii="宋体" w:hAnsi="宋体" w:eastAsia="宋体" w:cs="宋体"/>
                <w:color w:val="auto"/>
                <w:spacing w:val="-4"/>
                <w:sz w:val="24"/>
                <w:szCs w:val="24"/>
              </w:rPr>
              <w:t>指挥部交办的其他事宜。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0" w:hRule="atLeast"/>
          <w:jc w:val="center"/>
        </w:trPr>
        <w:tc>
          <w:tcPr>
            <w:tcW w:w="1159" w:type="dxa"/>
            <w:vMerge w:val="continue"/>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rPr>
                <w:rFonts w:hint="eastAsia" w:ascii="宋体" w:hAnsi="宋体" w:eastAsia="宋体" w:cs="宋体"/>
                <w:color w:val="auto"/>
                <w:sz w:val="24"/>
                <w:szCs w:val="24"/>
              </w:rPr>
            </w:pPr>
          </w:p>
        </w:tc>
        <w:tc>
          <w:tcPr>
            <w:tcW w:w="1311" w:type="dxa"/>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成员单位</w:t>
            </w:r>
          </w:p>
        </w:tc>
        <w:tc>
          <w:tcPr>
            <w:tcW w:w="4111" w:type="dxa"/>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lang w:eastAsia="zh-CN"/>
              </w:rPr>
              <w:t>县</w:t>
            </w:r>
            <w:r>
              <w:rPr>
                <w:rFonts w:hint="eastAsia" w:ascii="宋体" w:hAnsi="宋体" w:eastAsia="宋体" w:cs="宋体"/>
                <w:color w:val="auto"/>
                <w:sz w:val="24"/>
                <w:szCs w:val="24"/>
              </w:rPr>
              <w:t>教育局、</w:t>
            </w:r>
            <w:r>
              <w:rPr>
                <w:rFonts w:hint="eastAsia" w:ascii="宋体" w:hAnsi="宋体" w:eastAsia="宋体" w:cs="宋体"/>
                <w:color w:val="auto"/>
                <w:sz w:val="24"/>
                <w:szCs w:val="24"/>
                <w:lang w:eastAsia="zh-CN"/>
              </w:rPr>
              <w:t>县</w:t>
            </w:r>
            <w:r>
              <w:rPr>
                <w:rFonts w:hint="eastAsia" w:ascii="宋体" w:hAnsi="宋体" w:eastAsia="宋体" w:cs="宋体"/>
                <w:color w:val="auto"/>
                <w:sz w:val="24"/>
                <w:szCs w:val="24"/>
              </w:rPr>
              <w:t>农业农村局、生态环境局</w:t>
            </w:r>
            <w:r>
              <w:rPr>
                <w:rFonts w:hint="eastAsia" w:ascii="宋体" w:hAnsi="宋体" w:eastAsia="宋体" w:cs="宋体"/>
                <w:color w:val="auto"/>
                <w:sz w:val="24"/>
                <w:szCs w:val="24"/>
                <w:lang w:val="en-US" w:eastAsia="zh-CN"/>
              </w:rPr>
              <w:t>夏县</w:t>
            </w:r>
            <w:r>
              <w:rPr>
                <w:rFonts w:hint="eastAsia" w:ascii="宋体" w:hAnsi="宋体" w:eastAsia="宋体" w:cs="宋体"/>
                <w:color w:val="auto"/>
                <w:sz w:val="24"/>
                <w:szCs w:val="24"/>
                <w:lang w:eastAsia="zh-CN"/>
              </w:rPr>
              <w:t>分局</w:t>
            </w:r>
            <w:r>
              <w:rPr>
                <w:rFonts w:hint="eastAsia" w:ascii="宋体" w:hAnsi="宋体" w:eastAsia="宋体" w:cs="宋体"/>
                <w:color w:val="auto"/>
                <w:sz w:val="24"/>
                <w:szCs w:val="24"/>
              </w:rPr>
              <w:t>、</w:t>
            </w:r>
            <w:r>
              <w:rPr>
                <w:rFonts w:hint="eastAsia" w:ascii="宋体" w:hAnsi="宋体" w:eastAsia="宋体" w:cs="宋体"/>
                <w:color w:val="auto"/>
                <w:sz w:val="24"/>
                <w:szCs w:val="24"/>
                <w:lang w:eastAsia="zh-CN"/>
              </w:rPr>
              <w:t>县</w:t>
            </w:r>
            <w:r>
              <w:rPr>
                <w:rFonts w:hint="eastAsia" w:ascii="宋体" w:hAnsi="宋体" w:eastAsia="宋体" w:cs="宋体"/>
                <w:color w:val="auto"/>
                <w:sz w:val="24"/>
                <w:szCs w:val="24"/>
              </w:rPr>
              <w:t>红十字会、</w:t>
            </w:r>
            <w:r>
              <w:rPr>
                <w:rFonts w:hint="eastAsia" w:ascii="宋体" w:hAnsi="宋体" w:eastAsia="宋体" w:cs="宋体"/>
                <w:color w:val="auto"/>
                <w:sz w:val="24"/>
                <w:szCs w:val="24"/>
                <w:lang w:eastAsia="zh-CN"/>
              </w:rPr>
              <w:t>县</w:t>
            </w:r>
            <w:r>
              <w:rPr>
                <w:rFonts w:hint="eastAsia" w:ascii="宋体" w:hAnsi="宋体" w:eastAsia="宋体" w:cs="宋体"/>
                <w:color w:val="auto"/>
                <w:sz w:val="24"/>
                <w:szCs w:val="24"/>
              </w:rPr>
              <w:t>医保局</w:t>
            </w:r>
            <w:r>
              <w:rPr>
                <w:rFonts w:hint="eastAsia" w:ascii="宋体" w:hAnsi="宋体" w:eastAsia="宋体" w:cs="宋体"/>
                <w:b/>
                <w:bCs/>
                <w:color w:val="auto"/>
                <w:sz w:val="24"/>
                <w:szCs w:val="24"/>
              </w:rPr>
              <w:t>、</w:t>
            </w:r>
            <w:r>
              <w:rPr>
                <w:rFonts w:hint="eastAsia" w:ascii="宋体" w:hAnsi="宋体" w:eastAsia="宋体" w:cs="宋体"/>
                <w:b w:val="0"/>
                <w:bCs w:val="0"/>
                <w:color w:val="auto"/>
                <w:sz w:val="24"/>
                <w:szCs w:val="24"/>
                <w:lang w:val="en-US" w:eastAsia="zh-CN"/>
              </w:rPr>
              <w:t>县公安局</w:t>
            </w:r>
            <w:r>
              <w:rPr>
                <w:rFonts w:hint="eastAsia" w:ascii="宋体" w:hAnsi="宋体" w:eastAsia="宋体" w:cs="宋体"/>
                <w:b/>
                <w:bCs/>
                <w:color w:val="auto"/>
                <w:sz w:val="24"/>
                <w:szCs w:val="24"/>
                <w:lang w:val="en-US" w:eastAsia="zh-CN"/>
              </w:rPr>
              <w:t>、</w:t>
            </w:r>
            <w:r>
              <w:rPr>
                <w:rFonts w:hint="eastAsia" w:ascii="宋体" w:hAnsi="宋体" w:eastAsia="宋体" w:cs="宋体"/>
                <w:color w:val="auto"/>
                <w:sz w:val="24"/>
                <w:szCs w:val="24"/>
                <w:lang w:val="en-US" w:eastAsia="zh-CN"/>
              </w:rPr>
              <w:t>县人武部、</w:t>
            </w:r>
            <w:r>
              <w:rPr>
                <w:rFonts w:hint="eastAsia" w:ascii="宋体" w:hAnsi="宋体" w:eastAsia="宋体" w:cs="宋体"/>
                <w:b w:val="0"/>
                <w:bCs w:val="0"/>
                <w:color w:val="auto"/>
                <w:sz w:val="24"/>
                <w:szCs w:val="24"/>
              </w:rPr>
              <w:t>武警</w:t>
            </w:r>
            <w:r>
              <w:rPr>
                <w:rFonts w:hint="eastAsia" w:ascii="宋体" w:hAnsi="宋体" w:eastAsia="宋体" w:cs="宋体"/>
                <w:b w:val="0"/>
                <w:bCs w:val="0"/>
                <w:color w:val="auto"/>
                <w:sz w:val="24"/>
                <w:szCs w:val="24"/>
                <w:lang w:val="en-US" w:eastAsia="zh-CN"/>
              </w:rPr>
              <w:t>夏县</w:t>
            </w:r>
            <w:r>
              <w:rPr>
                <w:rFonts w:hint="eastAsia" w:ascii="宋体" w:hAnsi="宋体" w:eastAsia="宋体" w:cs="宋体"/>
                <w:b w:val="0"/>
                <w:bCs w:val="0"/>
                <w:color w:val="auto"/>
                <w:sz w:val="24"/>
                <w:szCs w:val="24"/>
                <w:lang w:eastAsia="zh-CN"/>
              </w:rPr>
              <w:t>中</w:t>
            </w:r>
            <w:r>
              <w:rPr>
                <w:rFonts w:hint="eastAsia" w:ascii="宋体" w:hAnsi="宋体" w:eastAsia="宋体" w:cs="宋体"/>
                <w:b w:val="0"/>
                <w:bCs w:val="0"/>
                <w:color w:val="auto"/>
                <w:sz w:val="24"/>
                <w:szCs w:val="24"/>
              </w:rPr>
              <w:t>队</w:t>
            </w:r>
          </w:p>
        </w:tc>
        <w:tc>
          <w:tcPr>
            <w:tcW w:w="7097" w:type="dxa"/>
            <w:vMerge w:val="continue"/>
            <w:vAlign w:val="center"/>
          </w:tcPr>
          <w:p>
            <w:pPr>
              <w:keepNext w:val="0"/>
              <w:keepLines w:val="0"/>
              <w:pageBreakBefore w:val="0"/>
              <w:kinsoku/>
              <w:wordWrap/>
              <w:overflowPunct/>
              <w:topLinePunct w:val="0"/>
              <w:autoSpaceDE/>
              <w:autoSpaceDN/>
              <w:bidi w:val="0"/>
              <w:adjustRightInd w:val="0"/>
              <w:snapToGrid w:val="0"/>
              <w:spacing w:line="280" w:lineRule="exact"/>
              <w:ind w:firstLine="480" w:firstLineChars="200"/>
              <w:textAlignment w:val="auto"/>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1159" w:type="dxa"/>
            <w:vMerge w:val="restart"/>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交通场站组</w:t>
            </w:r>
          </w:p>
        </w:tc>
        <w:tc>
          <w:tcPr>
            <w:tcW w:w="1311" w:type="dxa"/>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牵头部门</w:t>
            </w:r>
          </w:p>
        </w:tc>
        <w:tc>
          <w:tcPr>
            <w:tcW w:w="4111" w:type="dxa"/>
            <w:vAlign w:val="center"/>
          </w:tcPr>
          <w:p>
            <w:pPr>
              <w:keepNext w:val="0"/>
              <w:keepLines w:val="0"/>
              <w:pageBreakBefore w:val="0"/>
              <w:widowControl/>
              <w:kinsoku/>
              <w:wordWrap/>
              <w:overflowPunct/>
              <w:topLinePunct w:val="0"/>
              <w:autoSpaceDE/>
              <w:autoSpaceDN/>
              <w:bidi w:val="0"/>
              <w:adjustRightInd w:val="0"/>
              <w:snapToGrid w:val="0"/>
              <w:spacing w:after="0" w:line="280" w:lineRule="exact"/>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lang w:val="en-US" w:eastAsia="zh-CN"/>
              </w:rPr>
              <w:t>县交通局</w:t>
            </w:r>
          </w:p>
        </w:tc>
        <w:tc>
          <w:tcPr>
            <w:tcW w:w="7097" w:type="dxa"/>
            <w:vMerge w:val="restart"/>
            <w:vAlign w:val="center"/>
          </w:tcPr>
          <w:p>
            <w:pPr>
              <w:keepNext w:val="0"/>
              <w:keepLines w:val="0"/>
              <w:pageBreakBefore w:val="0"/>
              <w:kinsoku/>
              <w:wordWrap/>
              <w:overflowPunct/>
              <w:topLinePunct w:val="0"/>
              <w:autoSpaceDE/>
              <w:autoSpaceDN/>
              <w:bidi w:val="0"/>
              <w:adjustRightInd w:val="0"/>
              <w:snapToGrid w:val="0"/>
              <w:spacing w:line="28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负责督促指导交通运输企业落实重点场所和公共交通工具的通风、消毒、测温等必要措施；妥善实施场站发现有相关病例、疑似病例及密切接触者的临时隔离、留验并移交转运；协助开展密切接触者追踪；承担</w:t>
            </w:r>
            <w:r>
              <w:rPr>
                <w:rFonts w:hint="eastAsia" w:ascii="宋体" w:hAnsi="宋体" w:eastAsia="宋体" w:cs="宋体"/>
                <w:color w:val="auto"/>
                <w:sz w:val="24"/>
                <w:szCs w:val="24"/>
                <w:lang w:eastAsia="zh-CN"/>
              </w:rPr>
              <w:t>县</w:t>
            </w:r>
            <w:r>
              <w:rPr>
                <w:rFonts w:hint="eastAsia" w:ascii="宋体" w:hAnsi="宋体" w:eastAsia="宋体" w:cs="宋体"/>
                <w:color w:val="auto"/>
                <w:sz w:val="24"/>
                <w:szCs w:val="24"/>
              </w:rPr>
              <w:t>指挥部交办的其他事宜。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jc w:val="center"/>
        </w:trPr>
        <w:tc>
          <w:tcPr>
            <w:tcW w:w="1159" w:type="dxa"/>
            <w:vMerge w:val="continue"/>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rPr>
                <w:rFonts w:hint="eastAsia" w:ascii="宋体" w:hAnsi="宋体" w:eastAsia="宋体" w:cs="宋体"/>
                <w:color w:val="auto"/>
                <w:sz w:val="24"/>
                <w:szCs w:val="24"/>
              </w:rPr>
            </w:pPr>
          </w:p>
        </w:tc>
        <w:tc>
          <w:tcPr>
            <w:tcW w:w="1311" w:type="dxa"/>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成员单位</w:t>
            </w:r>
          </w:p>
        </w:tc>
        <w:tc>
          <w:tcPr>
            <w:tcW w:w="4111" w:type="dxa"/>
            <w:vAlign w:val="center"/>
          </w:tcPr>
          <w:p>
            <w:pPr>
              <w:keepNext w:val="0"/>
              <w:keepLines w:val="0"/>
              <w:pageBreakBefore w:val="0"/>
              <w:widowControl/>
              <w:kinsoku/>
              <w:wordWrap/>
              <w:overflowPunct/>
              <w:topLinePunct w:val="0"/>
              <w:autoSpaceDE/>
              <w:autoSpaceDN/>
              <w:bidi w:val="0"/>
              <w:adjustRightInd w:val="0"/>
              <w:snapToGrid w:val="0"/>
              <w:spacing w:after="0" w:line="280" w:lineRule="exact"/>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lang w:eastAsia="zh-CN"/>
              </w:rPr>
              <w:t>县</w:t>
            </w:r>
            <w:r>
              <w:rPr>
                <w:rFonts w:hint="eastAsia" w:ascii="宋体" w:hAnsi="宋体" w:eastAsia="宋体" w:cs="宋体"/>
                <w:color w:val="auto"/>
                <w:sz w:val="24"/>
                <w:szCs w:val="24"/>
              </w:rPr>
              <w:t>公安局、</w:t>
            </w:r>
            <w:r>
              <w:rPr>
                <w:rFonts w:hint="eastAsia" w:ascii="宋体" w:hAnsi="宋体" w:eastAsia="宋体" w:cs="宋体"/>
                <w:color w:val="auto"/>
                <w:sz w:val="24"/>
                <w:szCs w:val="24"/>
                <w:lang w:eastAsia="zh-CN"/>
              </w:rPr>
              <w:t>县</w:t>
            </w:r>
            <w:r>
              <w:rPr>
                <w:rFonts w:hint="eastAsia" w:ascii="宋体" w:hAnsi="宋体" w:eastAsia="宋体" w:cs="宋体"/>
                <w:color w:val="auto"/>
                <w:sz w:val="24"/>
                <w:szCs w:val="24"/>
              </w:rPr>
              <w:t>文旅局、</w:t>
            </w:r>
            <w:r>
              <w:rPr>
                <w:rFonts w:hint="eastAsia" w:ascii="宋体" w:hAnsi="宋体" w:eastAsia="宋体" w:cs="宋体"/>
                <w:color w:val="auto"/>
                <w:sz w:val="24"/>
                <w:szCs w:val="24"/>
                <w:lang w:eastAsia="zh-CN"/>
              </w:rPr>
              <w:t>县</w:t>
            </w:r>
            <w:r>
              <w:rPr>
                <w:rFonts w:hint="eastAsia" w:ascii="宋体" w:hAnsi="宋体" w:eastAsia="宋体" w:cs="宋体"/>
                <w:color w:val="auto"/>
                <w:sz w:val="24"/>
                <w:szCs w:val="24"/>
              </w:rPr>
              <w:t>卫</w:t>
            </w:r>
            <w:r>
              <w:rPr>
                <w:rFonts w:hint="eastAsia" w:ascii="宋体" w:hAnsi="宋体" w:eastAsia="宋体" w:cs="宋体"/>
                <w:color w:val="auto"/>
                <w:sz w:val="24"/>
                <w:szCs w:val="24"/>
                <w:lang w:val="en-US" w:eastAsia="zh-CN"/>
              </w:rPr>
              <w:t>体</w:t>
            </w:r>
            <w:r>
              <w:rPr>
                <w:rFonts w:hint="eastAsia" w:ascii="宋体" w:hAnsi="宋体" w:eastAsia="宋体" w:cs="宋体"/>
                <w:color w:val="auto"/>
                <w:sz w:val="24"/>
                <w:szCs w:val="24"/>
                <w:lang w:eastAsia="zh-CN"/>
              </w:rPr>
              <w:t>局</w:t>
            </w:r>
          </w:p>
        </w:tc>
        <w:tc>
          <w:tcPr>
            <w:tcW w:w="7097" w:type="dxa"/>
            <w:vMerge w:val="continue"/>
            <w:vAlign w:val="center"/>
          </w:tcPr>
          <w:p>
            <w:pPr>
              <w:keepNext w:val="0"/>
              <w:keepLines w:val="0"/>
              <w:pageBreakBefore w:val="0"/>
              <w:kinsoku/>
              <w:wordWrap/>
              <w:overflowPunct/>
              <w:topLinePunct w:val="0"/>
              <w:autoSpaceDE/>
              <w:autoSpaceDN/>
              <w:bidi w:val="0"/>
              <w:adjustRightInd w:val="0"/>
              <w:snapToGrid w:val="0"/>
              <w:spacing w:line="280" w:lineRule="exact"/>
              <w:ind w:firstLine="480" w:firstLineChars="200"/>
              <w:textAlignment w:val="auto"/>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1159" w:type="dxa"/>
            <w:vMerge w:val="restart"/>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市场监管组</w:t>
            </w:r>
          </w:p>
        </w:tc>
        <w:tc>
          <w:tcPr>
            <w:tcW w:w="1311" w:type="dxa"/>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牵头部门</w:t>
            </w:r>
          </w:p>
        </w:tc>
        <w:tc>
          <w:tcPr>
            <w:tcW w:w="4111" w:type="dxa"/>
            <w:vAlign w:val="center"/>
          </w:tcPr>
          <w:p>
            <w:pPr>
              <w:keepNext w:val="0"/>
              <w:keepLines w:val="0"/>
              <w:pageBreakBefore w:val="0"/>
              <w:widowControl/>
              <w:kinsoku/>
              <w:wordWrap/>
              <w:overflowPunct/>
              <w:topLinePunct w:val="0"/>
              <w:autoSpaceDE/>
              <w:autoSpaceDN/>
              <w:bidi w:val="0"/>
              <w:adjustRightInd w:val="0"/>
              <w:snapToGrid w:val="0"/>
              <w:spacing w:after="0" w:line="280" w:lineRule="exact"/>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lang w:eastAsia="zh-CN"/>
              </w:rPr>
              <w:t>县市场监管局</w:t>
            </w:r>
          </w:p>
        </w:tc>
        <w:tc>
          <w:tcPr>
            <w:tcW w:w="7097" w:type="dxa"/>
            <w:vMerge w:val="restart"/>
            <w:vAlign w:val="center"/>
          </w:tcPr>
          <w:p>
            <w:pPr>
              <w:keepNext w:val="0"/>
              <w:keepLines w:val="0"/>
              <w:pageBreakBefore w:val="0"/>
              <w:kinsoku/>
              <w:wordWrap/>
              <w:overflowPunct/>
              <w:topLinePunct w:val="0"/>
              <w:autoSpaceDE/>
              <w:autoSpaceDN/>
              <w:bidi w:val="0"/>
              <w:adjustRightInd w:val="0"/>
              <w:snapToGrid w:val="0"/>
              <w:spacing w:line="28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按照“早部署、早动员、早落实、早见效”的原则，负责对突发公共卫生事件相关产品的市场监管工作，</w:t>
            </w:r>
            <w:r>
              <w:rPr>
                <w:rFonts w:hint="eastAsia" w:ascii="宋体" w:hAnsi="宋体" w:eastAsia="宋体" w:cs="宋体"/>
                <w:color w:val="auto"/>
                <w:sz w:val="24"/>
                <w:szCs w:val="24"/>
                <w:lang w:val="en-US" w:eastAsia="zh-CN"/>
              </w:rPr>
              <w:t>维护市场秩序，加强质量监控</w:t>
            </w:r>
            <w:r>
              <w:rPr>
                <w:rFonts w:hint="eastAsia" w:ascii="宋体" w:hAnsi="宋体" w:eastAsia="宋体" w:cs="宋体"/>
                <w:color w:val="auto"/>
                <w:sz w:val="24"/>
                <w:szCs w:val="24"/>
              </w:rPr>
              <w:t>，强化环境卫生清洁整治；承担</w:t>
            </w:r>
            <w:r>
              <w:rPr>
                <w:rFonts w:hint="eastAsia" w:ascii="宋体" w:hAnsi="宋体" w:eastAsia="宋体" w:cs="宋体"/>
                <w:color w:val="auto"/>
                <w:sz w:val="24"/>
                <w:szCs w:val="24"/>
                <w:lang w:eastAsia="zh-CN"/>
              </w:rPr>
              <w:t>县</w:t>
            </w:r>
            <w:r>
              <w:rPr>
                <w:rFonts w:hint="eastAsia" w:ascii="宋体" w:hAnsi="宋体" w:eastAsia="宋体" w:cs="宋体"/>
                <w:color w:val="auto"/>
                <w:sz w:val="24"/>
                <w:szCs w:val="24"/>
              </w:rPr>
              <w:t>指挥部交办的其他事宜。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1159" w:type="dxa"/>
            <w:vMerge w:val="continue"/>
            <w:vAlign w:val="center"/>
          </w:tcPr>
          <w:p>
            <w:pPr>
              <w:adjustRightInd w:val="0"/>
              <w:snapToGrid w:val="0"/>
              <w:spacing w:line="280" w:lineRule="exact"/>
              <w:jc w:val="center"/>
              <w:rPr>
                <w:rFonts w:hint="eastAsia" w:ascii="宋体" w:hAnsi="宋体" w:eastAsia="宋体" w:cs="宋体"/>
                <w:color w:val="auto"/>
                <w:sz w:val="24"/>
                <w:szCs w:val="24"/>
              </w:rPr>
            </w:pPr>
          </w:p>
        </w:tc>
        <w:tc>
          <w:tcPr>
            <w:tcW w:w="1311" w:type="dxa"/>
            <w:vAlign w:val="center"/>
          </w:tcPr>
          <w:p>
            <w:pPr>
              <w:adjustRightInd w:val="0"/>
              <w:snapToGrid w:val="0"/>
              <w:spacing w:line="28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成员单位</w:t>
            </w:r>
          </w:p>
        </w:tc>
        <w:tc>
          <w:tcPr>
            <w:tcW w:w="4111" w:type="dxa"/>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lang w:eastAsia="zh-CN"/>
              </w:rPr>
              <w:t>县公安局、县文旅局、县卫</w:t>
            </w:r>
            <w:r>
              <w:rPr>
                <w:rFonts w:hint="eastAsia" w:ascii="宋体" w:hAnsi="宋体" w:eastAsia="宋体" w:cs="宋体"/>
                <w:color w:val="auto"/>
                <w:sz w:val="24"/>
                <w:szCs w:val="24"/>
                <w:lang w:val="en-US" w:eastAsia="zh-CN"/>
              </w:rPr>
              <w:t>体</w:t>
            </w:r>
            <w:r>
              <w:rPr>
                <w:rFonts w:hint="eastAsia" w:ascii="宋体" w:hAnsi="宋体" w:eastAsia="宋体" w:cs="宋体"/>
                <w:color w:val="auto"/>
                <w:sz w:val="24"/>
                <w:szCs w:val="24"/>
                <w:lang w:eastAsia="zh-CN"/>
              </w:rPr>
              <w:t>局</w:t>
            </w:r>
          </w:p>
        </w:tc>
        <w:tc>
          <w:tcPr>
            <w:tcW w:w="7097" w:type="dxa"/>
            <w:vMerge w:val="continue"/>
            <w:vAlign w:val="center"/>
          </w:tcPr>
          <w:p>
            <w:pPr>
              <w:adjustRightInd w:val="0"/>
              <w:snapToGrid w:val="0"/>
              <w:spacing w:line="320" w:lineRule="exact"/>
              <w:ind w:firstLine="480" w:firstLineChars="200"/>
              <w:rPr>
                <w:rFonts w:hint="eastAsia" w:ascii="宋体" w:hAnsi="宋体" w:eastAsia="宋体" w:cs="宋体"/>
                <w:color w:val="auto"/>
                <w:sz w:val="24"/>
                <w:szCs w:val="24"/>
              </w:rPr>
            </w:pPr>
          </w:p>
        </w:tc>
      </w:tr>
    </w:tbl>
    <w:p>
      <w:pPr>
        <w:rPr>
          <w:rFonts w:hint="eastAsia" w:ascii="CESI仿宋-GB2312" w:hAnsi="CESI仿宋-GB2312" w:eastAsia="CESI仿宋-GB2312" w:cs="CESI仿宋-GB2312"/>
          <w:color w:val="auto"/>
          <w:sz w:val="32"/>
          <w:szCs w:val="32"/>
        </w:rPr>
      </w:pPr>
      <w:r>
        <w:rPr>
          <w:rFonts w:hint="eastAsia" w:ascii="CESI仿宋-GB2312" w:hAnsi="CESI仿宋-GB2312" w:eastAsia="CESI仿宋-GB2312" w:cs="CESI仿宋-GB2312"/>
          <w:color w:val="auto"/>
          <w:sz w:val="32"/>
          <w:szCs w:val="32"/>
        </w:rPr>
        <w:br w:type="page"/>
      </w:r>
    </w:p>
    <w:p>
      <w:pPr>
        <w:pStyle w:val="6"/>
        <w:rPr>
          <w:rFonts w:hint="eastAsia"/>
          <w:color w:val="auto"/>
        </w:rPr>
      </w:pPr>
    </w:p>
    <w:tbl>
      <w:tblPr>
        <w:tblStyle w:val="7"/>
        <w:tblW w:w="137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8"/>
        <w:gridCol w:w="1320"/>
        <w:gridCol w:w="4141"/>
        <w:gridCol w:w="71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blHeader/>
          <w:jc w:val="center"/>
        </w:trPr>
        <w:tc>
          <w:tcPr>
            <w:tcW w:w="1168" w:type="dxa"/>
            <w:vAlign w:val="center"/>
          </w:tcPr>
          <w:p>
            <w:pPr>
              <w:adjustRightInd w:val="0"/>
              <w:snapToGrid w:val="0"/>
              <w:spacing w:line="28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工作组</w:t>
            </w:r>
          </w:p>
        </w:tc>
        <w:tc>
          <w:tcPr>
            <w:tcW w:w="5461" w:type="dxa"/>
            <w:gridSpan w:val="2"/>
            <w:vAlign w:val="center"/>
          </w:tcPr>
          <w:p>
            <w:pPr>
              <w:adjustRightInd w:val="0"/>
              <w:snapToGrid w:val="0"/>
              <w:spacing w:line="28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工作组设置</w:t>
            </w:r>
          </w:p>
        </w:tc>
        <w:tc>
          <w:tcPr>
            <w:tcW w:w="7150" w:type="dxa"/>
            <w:vAlign w:val="center"/>
          </w:tcPr>
          <w:p>
            <w:pPr>
              <w:adjustRightInd w:val="0"/>
              <w:snapToGrid w:val="0"/>
              <w:spacing w:line="32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主要职责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1168" w:type="dxa"/>
            <w:vMerge w:val="restart"/>
            <w:vAlign w:val="center"/>
          </w:tcPr>
          <w:p>
            <w:pPr>
              <w:adjustRightInd w:val="0"/>
              <w:snapToGrid w:val="0"/>
              <w:spacing w:line="32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医疗物资保障组</w:t>
            </w:r>
          </w:p>
        </w:tc>
        <w:tc>
          <w:tcPr>
            <w:tcW w:w="1320" w:type="dxa"/>
            <w:vAlign w:val="center"/>
          </w:tcPr>
          <w:p>
            <w:pPr>
              <w:adjustRightInd w:val="0"/>
              <w:snapToGrid w:val="0"/>
              <w:spacing w:line="32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牵头部门</w:t>
            </w:r>
          </w:p>
        </w:tc>
        <w:tc>
          <w:tcPr>
            <w:tcW w:w="4141" w:type="dxa"/>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lang w:eastAsia="zh-CN"/>
              </w:rPr>
              <w:t>县</w:t>
            </w:r>
            <w:r>
              <w:rPr>
                <w:rFonts w:hint="eastAsia" w:ascii="宋体" w:hAnsi="宋体" w:eastAsia="宋体" w:cs="宋体"/>
                <w:color w:val="auto"/>
                <w:sz w:val="24"/>
                <w:szCs w:val="24"/>
                <w:lang w:val="en-US" w:eastAsia="zh-CN"/>
              </w:rPr>
              <w:t>工信科</w:t>
            </w:r>
            <w:r>
              <w:rPr>
                <w:rFonts w:hint="eastAsia" w:ascii="宋体" w:hAnsi="宋体" w:eastAsia="宋体" w:cs="宋体"/>
                <w:color w:val="auto"/>
                <w:sz w:val="24"/>
                <w:szCs w:val="24"/>
                <w:lang w:eastAsia="zh-CN"/>
              </w:rPr>
              <w:t>局</w:t>
            </w:r>
          </w:p>
        </w:tc>
        <w:tc>
          <w:tcPr>
            <w:tcW w:w="7150" w:type="dxa"/>
            <w:vMerge w:val="restart"/>
            <w:vAlign w:val="center"/>
          </w:tcPr>
          <w:p>
            <w:pPr>
              <w:keepNext w:val="0"/>
              <w:keepLines w:val="0"/>
              <w:pageBreakBefore w:val="0"/>
              <w:widowControl/>
              <w:kinsoku/>
              <w:wordWrap/>
              <w:overflowPunct/>
              <w:topLinePunct w:val="0"/>
              <w:autoSpaceDE/>
              <w:autoSpaceDN/>
              <w:bidi w:val="0"/>
              <w:adjustRightInd w:val="0"/>
              <w:snapToGrid w:val="0"/>
              <w:spacing w:after="0" w:line="300" w:lineRule="exact"/>
              <w:ind w:firstLine="480" w:firstLineChars="200"/>
              <w:jc w:val="both"/>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负责统筹和协调医疗应急物资的供需、生产、储备、调拨、运输等事宜；提出必需医药物资的应急储备和采购计划；协调安排相关资金及预算；督促和检查各项保障措施落实情况；负责保障工作信息的管理；承担</w:t>
            </w:r>
            <w:r>
              <w:rPr>
                <w:rFonts w:hint="eastAsia" w:ascii="宋体" w:hAnsi="宋体" w:eastAsia="宋体" w:cs="宋体"/>
                <w:color w:val="auto"/>
                <w:sz w:val="24"/>
                <w:szCs w:val="24"/>
                <w:lang w:eastAsia="zh-CN"/>
              </w:rPr>
              <w:t>县</w:t>
            </w:r>
            <w:r>
              <w:rPr>
                <w:rFonts w:hint="eastAsia" w:ascii="宋体" w:hAnsi="宋体" w:eastAsia="宋体" w:cs="宋体"/>
                <w:color w:val="auto"/>
                <w:sz w:val="24"/>
                <w:szCs w:val="24"/>
              </w:rPr>
              <w:t>指挥部交办的其他事宜。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jc w:val="center"/>
        </w:trPr>
        <w:tc>
          <w:tcPr>
            <w:tcW w:w="1168" w:type="dxa"/>
            <w:vMerge w:val="continue"/>
            <w:vAlign w:val="center"/>
          </w:tcPr>
          <w:p>
            <w:pPr>
              <w:adjustRightInd w:val="0"/>
              <w:snapToGrid w:val="0"/>
              <w:spacing w:line="320" w:lineRule="exact"/>
              <w:jc w:val="center"/>
              <w:rPr>
                <w:rFonts w:hint="eastAsia" w:ascii="宋体" w:hAnsi="宋体" w:eastAsia="宋体" w:cs="宋体"/>
                <w:color w:val="auto"/>
                <w:sz w:val="24"/>
                <w:szCs w:val="24"/>
              </w:rPr>
            </w:pPr>
          </w:p>
        </w:tc>
        <w:tc>
          <w:tcPr>
            <w:tcW w:w="1320" w:type="dxa"/>
            <w:vAlign w:val="center"/>
          </w:tcPr>
          <w:p>
            <w:pPr>
              <w:adjustRightInd w:val="0"/>
              <w:snapToGrid w:val="0"/>
              <w:spacing w:line="32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成员单位</w:t>
            </w:r>
          </w:p>
        </w:tc>
        <w:tc>
          <w:tcPr>
            <w:tcW w:w="4141" w:type="dxa"/>
            <w:vAlign w:val="center"/>
          </w:tcPr>
          <w:p>
            <w:pPr>
              <w:adjustRightInd w:val="0"/>
              <w:snapToGrid w:val="0"/>
              <w:spacing w:line="32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lang w:eastAsia="zh-CN"/>
              </w:rPr>
              <w:t>县发改局、县财政局、县医保局、县交通局、县农业农村局、县卫</w:t>
            </w:r>
            <w:r>
              <w:rPr>
                <w:rFonts w:hint="eastAsia" w:ascii="宋体" w:hAnsi="宋体" w:eastAsia="宋体" w:cs="宋体"/>
                <w:color w:val="auto"/>
                <w:sz w:val="24"/>
                <w:szCs w:val="24"/>
                <w:lang w:val="en-US" w:eastAsia="zh-CN"/>
              </w:rPr>
              <w:t>体</w:t>
            </w:r>
            <w:r>
              <w:rPr>
                <w:rFonts w:hint="eastAsia" w:ascii="宋体" w:hAnsi="宋体" w:eastAsia="宋体" w:cs="宋体"/>
                <w:color w:val="auto"/>
                <w:sz w:val="24"/>
                <w:szCs w:val="24"/>
                <w:lang w:eastAsia="zh-CN"/>
              </w:rPr>
              <w:t>局、县应急管理局、县市场监管局</w:t>
            </w:r>
          </w:p>
        </w:tc>
        <w:tc>
          <w:tcPr>
            <w:tcW w:w="7150" w:type="dxa"/>
            <w:vMerge w:val="continue"/>
            <w:vAlign w:val="center"/>
          </w:tcPr>
          <w:p>
            <w:pPr>
              <w:adjustRightInd w:val="0"/>
              <w:snapToGrid w:val="0"/>
              <w:spacing w:line="320" w:lineRule="exact"/>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1168" w:type="dxa"/>
            <w:vMerge w:val="restart"/>
            <w:vAlign w:val="center"/>
          </w:tcPr>
          <w:p>
            <w:pPr>
              <w:adjustRightInd w:val="0"/>
              <w:snapToGrid w:val="0"/>
              <w:spacing w:line="32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生活物资保障组</w:t>
            </w:r>
          </w:p>
        </w:tc>
        <w:tc>
          <w:tcPr>
            <w:tcW w:w="1320" w:type="dxa"/>
            <w:vAlign w:val="center"/>
          </w:tcPr>
          <w:p>
            <w:pPr>
              <w:adjustRightInd w:val="0"/>
              <w:snapToGrid w:val="0"/>
              <w:spacing w:line="32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牵头部门</w:t>
            </w:r>
          </w:p>
        </w:tc>
        <w:tc>
          <w:tcPr>
            <w:tcW w:w="4141" w:type="dxa"/>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lang w:eastAsia="zh-CN"/>
              </w:rPr>
              <w:t>县</w:t>
            </w:r>
            <w:r>
              <w:rPr>
                <w:rFonts w:hint="eastAsia" w:ascii="宋体" w:hAnsi="宋体" w:eastAsia="宋体" w:cs="宋体"/>
                <w:color w:val="auto"/>
                <w:sz w:val="24"/>
                <w:szCs w:val="24"/>
                <w:lang w:val="en-US" w:eastAsia="zh-CN"/>
              </w:rPr>
              <w:t>工信科</w:t>
            </w:r>
            <w:r>
              <w:rPr>
                <w:rFonts w:hint="eastAsia" w:ascii="宋体" w:hAnsi="宋体" w:eastAsia="宋体" w:cs="宋体"/>
                <w:color w:val="auto"/>
                <w:sz w:val="24"/>
                <w:szCs w:val="24"/>
                <w:lang w:eastAsia="zh-CN"/>
              </w:rPr>
              <w:t>局</w:t>
            </w:r>
          </w:p>
        </w:tc>
        <w:tc>
          <w:tcPr>
            <w:tcW w:w="7150" w:type="dxa"/>
            <w:vMerge w:val="restart"/>
            <w:vAlign w:val="center"/>
          </w:tcPr>
          <w:p>
            <w:pPr>
              <w:adjustRightInd w:val="0"/>
              <w:snapToGrid w:val="0"/>
              <w:spacing w:line="320" w:lineRule="exact"/>
              <w:rPr>
                <w:rFonts w:hint="eastAsia" w:ascii="宋体" w:hAnsi="宋体" w:eastAsia="宋体" w:cs="宋体"/>
                <w:color w:val="auto"/>
                <w:sz w:val="24"/>
                <w:szCs w:val="24"/>
              </w:rPr>
            </w:pPr>
            <w:r>
              <w:rPr>
                <w:rFonts w:hint="eastAsia" w:ascii="宋体" w:hAnsi="宋体" w:eastAsia="宋体" w:cs="宋体"/>
                <w:color w:val="auto"/>
                <w:sz w:val="24"/>
                <w:szCs w:val="24"/>
              </w:rPr>
              <w:t>负责统筹和协调疫情防控期间必需生活物资的供需、生产、储备、调拨、运输等事宜；监测和保障生活必需品等市场动态及供给，维护市场秩序；督促和检查各项保障措施落实情况；承担</w:t>
            </w:r>
            <w:r>
              <w:rPr>
                <w:rFonts w:hint="eastAsia" w:ascii="宋体" w:hAnsi="宋体" w:eastAsia="宋体" w:cs="宋体"/>
                <w:color w:val="auto"/>
                <w:sz w:val="24"/>
                <w:szCs w:val="24"/>
                <w:lang w:eastAsia="zh-CN"/>
              </w:rPr>
              <w:t>县</w:t>
            </w:r>
            <w:r>
              <w:rPr>
                <w:rFonts w:hint="eastAsia" w:ascii="宋体" w:hAnsi="宋体" w:eastAsia="宋体" w:cs="宋体"/>
                <w:color w:val="auto"/>
                <w:sz w:val="24"/>
                <w:szCs w:val="24"/>
              </w:rPr>
              <w:t>指挥部交办的其他事宜。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8" w:hRule="atLeast"/>
          <w:jc w:val="center"/>
        </w:trPr>
        <w:tc>
          <w:tcPr>
            <w:tcW w:w="1168" w:type="dxa"/>
            <w:vMerge w:val="continue"/>
            <w:vAlign w:val="center"/>
          </w:tcPr>
          <w:p>
            <w:pPr>
              <w:adjustRightInd w:val="0"/>
              <w:snapToGrid w:val="0"/>
              <w:spacing w:line="320" w:lineRule="exact"/>
              <w:jc w:val="center"/>
              <w:rPr>
                <w:rFonts w:hint="eastAsia" w:ascii="宋体" w:hAnsi="宋体" w:eastAsia="宋体" w:cs="宋体"/>
                <w:color w:val="auto"/>
                <w:sz w:val="24"/>
                <w:szCs w:val="24"/>
              </w:rPr>
            </w:pPr>
          </w:p>
        </w:tc>
        <w:tc>
          <w:tcPr>
            <w:tcW w:w="1320" w:type="dxa"/>
            <w:vAlign w:val="center"/>
          </w:tcPr>
          <w:p>
            <w:pPr>
              <w:adjustRightInd w:val="0"/>
              <w:snapToGrid w:val="0"/>
              <w:spacing w:line="32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成员单位</w:t>
            </w:r>
          </w:p>
        </w:tc>
        <w:tc>
          <w:tcPr>
            <w:tcW w:w="4141" w:type="dxa"/>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lang w:eastAsia="zh-CN"/>
              </w:rPr>
              <w:t>县交通局、县农业农村局、县发改局、县市场监管局、县应急管理局</w:t>
            </w:r>
          </w:p>
        </w:tc>
        <w:tc>
          <w:tcPr>
            <w:tcW w:w="7150" w:type="dxa"/>
            <w:vMerge w:val="continue"/>
            <w:vAlign w:val="top"/>
          </w:tcPr>
          <w:p>
            <w:pPr>
              <w:adjustRightInd w:val="0"/>
              <w:snapToGrid w:val="0"/>
              <w:spacing w:line="320" w:lineRule="exact"/>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jc w:val="center"/>
        </w:trPr>
        <w:tc>
          <w:tcPr>
            <w:tcW w:w="1168" w:type="dxa"/>
            <w:vMerge w:val="restart"/>
            <w:vAlign w:val="center"/>
          </w:tcPr>
          <w:p>
            <w:pPr>
              <w:adjustRightInd w:val="0"/>
              <w:snapToGrid w:val="0"/>
              <w:spacing w:line="32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宣传组</w:t>
            </w:r>
          </w:p>
        </w:tc>
        <w:tc>
          <w:tcPr>
            <w:tcW w:w="1320" w:type="dxa"/>
            <w:vAlign w:val="center"/>
          </w:tcPr>
          <w:p>
            <w:pPr>
              <w:adjustRightInd w:val="0"/>
              <w:snapToGrid w:val="0"/>
              <w:spacing w:line="32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牵头部门</w:t>
            </w:r>
          </w:p>
        </w:tc>
        <w:tc>
          <w:tcPr>
            <w:tcW w:w="4141" w:type="dxa"/>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lang w:eastAsia="zh-CN"/>
              </w:rPr>
              <w:t>县</w:t>
            </w:r>
            <w:r>
              <w:rPr>
                <w:rFonts w:hint="eastAsia" w:ascii="宋体" w:hAnsi="宋体" w:eastAsia="宋体" w:cs="宋体"/>
                <w:color w:val="auto"/>
                <w:sz w:val="24"/>
                <w:szCs w:val="24"/>
              </w:rPr>
              <w:t>委宣传部</w:t>
            </w:r>
          </w:p>
        </w:tc>
        <w:tc>
          <w:tcPr>
            <w:tcW w:w="7150" w:type="dxa"/>
            <w:vMerge w:val="restart"/>
            <w:vAlign w:val="center"/>
          </w:tcPr>
          <w:p>
            <w:pPr>
              <w:adjustRightInd w:val="0"/>
              <w:snapToGrid w:val="0"/>
              <w:spacing w:line="320" w:lineRule="exact"/>
              <w:rPr>
                <w:rFonts w:hint="eastAsia" w:ascii="宋体" w:hAnsi="宋体" w:eastAsia="宋体" w:cs="宋体"/>
                <w:color w:val="auto"/>
                <w:sz w:val="24"/>
                <w:szCs w:val="24"/>
              </w:rPr>
            </w:pPr>
            <w:r>
              <w:rPr>
                <w:rFonts w:hint="eastAsia" w:ascii="宋体" w:hAnsi="宋体" w:eastAsia="宋体" w:cs="宋体"/>
                <w:color w:val="auto"/>
                <w:sz w:val="24"/>
                <w:szCs w:val="24"/>
              </w:rPr>
              <w:t>根据</w:t>
            </w:r>
            <w:r>
              <w:rPr>
                <w:rFonts w:hint="eastAsia" w:ascii="宋体" w:hAnsi="宋体" w:eastAsia="宋体" w:cs="宋体"/>
                <w:color w:val="auto"/>
                <w:sz w:val="24"/>
                <w:szCs w:val="24"/>
                <w:lang w:eastAsia="zh-CN"/>
              </w:rPr>
              <w:t>县</w:t>
            </w:r>
            <w:r>
              <w:rPr>
                <w:rFonts w:hint="eastAsia" w:ascii="宋体" w:hAnsi="宋体" w:eastAsia="宋体" w:cs="宋体"/>
                <w:color w:val="auto"/>
                <w:sz w:val="24"/>
                <w:szCs w:val="24"/>
              </w:rPr>
              <w:t>指挥部发布的权威信息，组织协调新闻媒体做好突发公共卫生事件应急处置的新闻报道，积极引导舆论；承担</w:t>
            </w:r>
            <w:r>
              <w:rPr>
                <w:rFonts w:hint="eastAsia" w:ascii="宋体" w:hAnsi="宋体" w:eastAsia="宋体" w:cs="宋体"/>
                <w:color w:val="auto"/>
                <w:sz w:val="24"/>
                <w:szCs w:val="24"/>
                <w:lang w:eastAsia="zh-CN"/>
              </w:rPr>
              <w:t>县</w:t>
            </w:r>
            <w:r>
              <w:rPr>
                <w:rFonts w:hint="eastAsia" w:ascii="宋体" w:hAnsi="宋体" w:eastAsia="宋体" w:cs="宋体"/>
                <w:color w:val="auto"/>
                <w:sz w:val="24"/>
                <w:szCs w:val="24"/>
              </w:rPr>
              <w:t>指挥部交办的其他事宜。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4" w:hRule="atLeast"/>
          <w:jc w:val="center"/>
        </w:trPr>
        <w:tc>
          <w:tcPr>
            <w:tcW w:w="1168" w:type="dxa"/>
            <w:vMerge w:val="continue"/>
            <w:vAlign w:val="center"/>
          </w:tcPr>
          <w:p>
            <w:pPr>
              <w:adjustRightInd w:val="0"/>
              <w:snapToGrid w:val="0"/>
              <w:spacing w:line="320" w:lineRule="exact"/>
              <w:jc w:val="center"/>
              <w:rPr>
                <w:rFonts w:hint="eastAsia" w:ascii="宋体" w:hAnsi="宋体" w:eastAsia="宋体" w:cs="宋体"/>
                <w:color w:val="auto"/>
                <w:sz w:val="24"/>
                <w:szCs w:val="24"/>
              </w:rPr>
            </w:pPr>
          </w:p>
        </w:tc>
        <w:tc>
          <w:tcPr>
            <w:tcW w:w="1320" w:type="dxa"/>
            <w:vAlign w:val="center"/>
          </w:tcPr>
          <w:p>
            <w:pPr>
              <w:adjustRightInd w:val="0"/>
              <w:snapToGrid w:val="0"/>
              <w:spacing w:line="32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成员单位</w:t>
            </w:r>
          </w:p>
        </w:tc>
        <w:tc>
          <w:tcPr>
            <w:tcW w:w="4141" w:type="dxa"/>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lang w:val="en-US" w:eastAsia="zh-CN"/>
              </w:rPr>
              <w:t>县融媒体中心、</w:t>
            </w:r>
            <w:r>
              <w:rPr>
                <w:rFonts w:hint="eastAsia" w:ascii="宋体" w:hAnsi="宋体" w:eastAsia="宋体" w:cs="宋体"/>
                <w:color w:val="auto"/>
                <w:sz w:val="24"/>
                <w:szCs w:val="24"/>
                <w:lang w:eastAsia="zh-CN"/>
              </w:rPr>
              <w:t>县</w:t>
            </w:r>
            <w:r>
              <w:rPr>
                <w:rFonts w:hint="eastAsia" w:ascii="宋体" w:hAnsi="宋体" w:eastAsia="宋体" w:cs="宋体"/>
                <w:color w:val="auto"/>
                <w:sz w:val="24"/>
                <w:szCs w:val="24"/>
              </w:rPr>
              <w:t>公安局、</w:t>
            </w:r>
            <w:r>
              <w:rPr>
                <w:rFonts w:hint="eastAsia" w:ascii="宋体" w:hAnsi="宋体" w:eastAsia="宋体" w:cs="宋体"/>
                <w:color w:val="auto"/>
                <w:sz w:val="24"/>
                <w:szCs w:val="24"/>
                <w:lang w:eastAsia="zh-CN"/>
              </w:rPr>
              <w:t>县</w:t>
            </w:r>
            <w:r>
              <w:rPr>
                <w:rFonts w:hint="eastAsia" w:ascii="宋体" w:hAnsi="宋体" w:eastAsia="宋体" w:cs="宋体"/>
                <w:color w:val="auto"/>
                <w:sz w:val="24"/>
                <w:szCs w:val="24"/>
              </w:rPr>
              <w:t>卫</w:t>
            </w:r>
            <w:r>
              <w:rPr>
                <w:rFonts w:hint="eastAsia" w:ascii="宋体" w:hAnsi="宋体" w:eastAsia="宋体" w:cs="宋体"/>
                <w:color w:val="auto"/>
                <w:sz w:val="24"/>
                <w:szCs w:val="24"/>
                <w:lang w:val="en-US" w:eastAsia="zh-CN"/>
              </w:rPr>
              <w:t>体</w:t>
            </w:r>
            <w:r>
              <w:rPr>
                <w:rFonts w:hint="eastAsia" w:ascii="宋体" w:hAnsi="宋体" w:eastAsia="宋体" w:cs="宋体"/>
                <w:color w:val="auto"/>
                <w:sz w:val="24"/>
                <w:szCs w:val="24"/>
                <w:lang w:eastAsia="zh-CN"/>
              </w:rPr>
              <w:t>局</w:t>
            </w:r>
            <w:r>
              <w:rPr>
                <w:rFonts w:hint="eastAsia" w:ascii="宋体" w:hAnsi="宋体" w:eastAsia="宋体" w:cs="宋体"/>
                <w:color w:val="auto"/>
                <w:sz w:val="24"/>
                <w:szCs w:val="24"/>
              </w:rPr>
              <w:t>、</w:t>
            </w:r>
            <w:r>
              <w:rPr>
                <w:rFonts w:hint="eastAsia" w:ascii="宋体" w:hAnsi="宋体" w:eastAsia="宋体" w:cs="宋体"/>
                <w:color w:val="auto"/>
                <w:sz w:val="24"/>
                <w:szCs w:val="24"/>
                <w:lang w:eastAsia="zh-CN"/>
              </w:rPr>
              <w:t>县</w:t>
            </w:r>
            <w:r>
              <w:rPr>
                <w:rFonts w:hint="eastAsia" w:ascii="宋体" w:hAnsi="宋体" w:eastAsia="宋体" w:cs="宋体"/>
                <w:color w:val="auto"/>
                <w:sz w:val="24"/>
                <w:szCs w:val="24"/>
              </w:rPr>
              <w:t>应急</w:t>
            </w:r>
            <w:r>
              <w:rPr>
                <w:rFonts w:hint="eastAsia" w:ascii="宋体" w:hAnsi="宋体" w:eastAsia="宋体" w:cs="宋体"/>
                <w:color w:val="auto"/>
                <w:sz w:val="24"/>
                <w:szCs w:val="24"/>
                <w:lang w:eastAsia="zh-CN"/>
              </w:rPr>
              <w:t>管理</w:t>
            </w:r>
            <w:r>
              <w:rPr>
                <w:rFonts w:hint="eastAsia" w:ascii="宋体" w:hAnsi="宋体" w:eastAsia="宋体" w:cs="宋体"/>
                <w:color w:val="auto"/>
                <w:sz w:val="24"/>
                <w:szCs w:val="24"/>
              </w:rPr>
              <w:t>局</w:t>
            </w:r>
          </w:p>
        </w:tc>
        <w:tc>
          <w:tcPr>
            <w:tcW w:w="7150" w:type="dxa"/>
            <w:vMerge w:val="continue"/>
            <w:vAlign w:val="center"/>
          </w:tcPr>
          <w:p>
            <w:pPr>
              <w:adjustRightInd w:val="0"/>
              <w:snapToGrid w:val="0"/>
              <w:spacing w:line="320" w:lineRule="exact"/>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1168" w:type="dxa"/>
            <w:vMerge w:val="restart"/>
            <w:vAlign w:val="center"/>
          </w:tcPr>
          <w:p>
            <w:pPr>
              <w:adjustRightInd w:val="0"/>
              <w:snapToGrid w:val="0"/>
              <w:spacing w:line="32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社会治安组</w:t>
            </w:r>
          </w:p>
        </w:tc>
        <w:tc>
          <w:tcPr>
            <w:tcW w:w="1320" w:type="dxa"/>
            <w:vAlign w:val="center"/>
          </w:tcPr>
          <w:p>
            <w:pPr>
              <w:adjustRightInd w:val="0"/>
              <w:snapToGrid w:val="0"/>
              <w:spacing w:line="32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牵头部门</w:t>
            </w:r>
          </w:p>
        </w:tc>
        <w:tc>
          <w:tcPr>
            <w:tcW w:w="4141" w:type="dxa"/>
            <w:vAlign w:val="center"/>
          </w:tcPr>
          <w:p>
            <w:pPr>
              <w:adjustRightInd w:val="0"/>
              <w:snapToGrid w:val="0"/>
              <w:spacing w:line="32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lang w:eastAsia="zh-CN"/>
              </w:rPr>
              <w:t>县</w:t>
            </w:r>
            <w:r>
              <w:rPr>
                <w:rFonts w:hint="eastAsia" w:ascii="宋体" w:hAnsi="宋体" w:eastAsia="宋体" w:cs="宋体"/>
                <w:color w:val="auto"/>
                <w:sz w:val="24"/>
                <w:szCs w:val="24"/>
              </w:rPr>
              <w:t>公安局</w:t>
            </w:r>
          </w:p>
        </w:tc>
        <w:tc>
          <w:tcPr>
            <w:tcW w:w="7150" w:type="dxa"/>
            <w:vMerge w:val="restart"/>
            <w:vAlign w:val="center"/>
          </w:tcPr>
          <w:p>
            <w:pPr>
              <w:adjustRightInd w:val="0"/>
              <w:snapToGrid w:val="0"/>
              <w:spacing w:line="320" w:lineRule="exact"/>
              <w:rPr>
                <w:rFonts w:hint="eastAsia" w:ascii="宋体" w:hAnsi="宋体" w:eastAsia="宋体" w:cs="宋体"/>
                <w:color w:val="auto"/>
                <w:sz w:val="24"/>
                <w:szCs w:val="24"/>
              </w:rPr>
            </w:pPr>
            <w:r>
              <w:rPr>
                <w:rFonts w:hint="eastAsia" w:ascii="宋体" w:hAnsi="宋体" w:eastAsia="宋体" w:cs="宋体"/>
                <w:color w:val="auto"/>
                <w:sz w:val="24"/>
                <w:szCs w:val="24"/>
              </w:rPr>
              <w:t>负责密切关注和及时依法处置与突发公共卫生事件相关的社会治安事件，严厉打击相关违法犯罪行为；会同卫健部门对相关病例、疑似病例及密切接触者等进行追踪；做好交通疏导，保障突发公共卫生事件应急处置相关车辆优先、快速通行；承担</w:t>
            </w:r>
            <w:r>
              <w:rPr>
                <w:rFonts w:hint="eastAsia" w:ascii="宋体" w:hAnsi="宋体" w:eastAsia="宋体" w:cs="宋体"/>
                <w:color w:val="auto"/>
                <w:sz w:val="24"/>
                <w:szCs w:val="24"/>
                <w:lang w:eastAsia="zh-CN"/>
              </w:rPr>
              <w:t>县</w:t>
            </w:r>
            <w:r>
              <w:rPr>
                <w:rFonts w:hint="eastAsia" w:ascii="宋体" w:hAnsi="宋体" w:eastAsia="宋体" w:cs="宋体"/>
                <w:color w:val="auto"/>
                <w:sz w:val="24"/>
                <w:szCs w:val="24"/>
              </w:rPr>
              <w:t>指挥部交办的其他事宜。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7" w:hRule="atLeast"/>
          <w:jc w:val="center"/>
        </w:trPr>
        <w:tc>
          <w:tcPr>
            <w:tcW w:w="1168" w:type="dxa"/>
            <w:vMerge w:val="continue"/>
            <w:vAlign w:val="center"/>
          </w:tcPr>
          <w:p>
            <w:pPr>
              <w:adjustRightInd w:val="0"/>
              <w:snapToGrid w:val="0"/>
              <w:spacing w:line="320" w:lineRule="exact"/>
              <w:jc w:val="center"/>
              <w:rPr>
                <w:rFonts w:hint="eastAsia" w:ascii="宋体" w:hAnsi="宋体" w:eastAsia="宋体" w:cs="宋体"/>
                <w:color w:val="auto"/>
                <w:sz w:val="24"/>
                <w:szCs w:val="24"/>
              </w:rPr>
            </w:pPr>
          </w:p>
        </w:tc>
        <w:tc>
          <w:tcPr>
            <w:tcW w:w="1320" w:type="dxa"/>
            <w:vAlign w:val="center"/>
          </w:tcPr>
          <w:p>
            <w:pPr>
              <w:adjustRightInd w:val="0"/>
              <w:snapToGrid w:val="0"/>
              <w:spacing w:line="32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成员单位</w:t>
            </w:r>
          </w:p>
        </w:tc>
        <w:tc>
          <w:tcPr>
            <w:tcW w:w="4141" w:type="dxa"/>
            <w:vAlign w:val="center"/>
          </w:tcPr>
          <w:p>
            <w:pPr>
              <w:adjustRightInd w:val="0"/>
              <w:snapToGrid w:val="0"/>
              <w:spacing w:line="32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lang w:eastAsia="zh-CN"/>
              </w:rPr>
              <w:t>县宣传部</w:t>
            </w:r>
            <w:r>
              <w:rPr>
                <w:rFonts w:hint="eastAsia" w:ascii="宋体" w:hAnsi="宋体" w:eastAsia="宋体" w:cs="宋体"/>
                <w:color w:val="auto"/>
                <w:sz w:val="24"/>
                <w:szCs w:val="24"/>
              </w:rPr>
              <w:t>、</w:t>
            </w:r>
            <w:r>
              <w:rPr>
                <w:rFonts w:hint="eastAsia" w:ascii="宋体" w:hAnsi="宋体" w:eastAsia="宋体" w:cs="宋体"/>
                <w:color w:val="auto"/>
                <w:sz w:val="24"/>
                <w:szCs w:val="24"/>
                <w:lang w:eastAsia="zh-CN"/>
              </w:rPr>
              <w:t>县</w:t>
            </w:r>
            <w:r>
              <w:rPr>
                <w:rFonts w:hint="eastAsia" w:ascii="宋体" w:hAnsi="宋体" w:eastAsia="宋体" w:cs="宋体"/>
                <w:color w:val="auto"/>
                <w:sz w:val="24"/>
                <w:szCs w:val="24"/>
              </w:rPr>
              <w:t>教育局、</w:t>
            </w:r>
            <w:r>
              <w:rPr>
                <w:rFonts w:hint="eastAsia" w:ascii="宋体" w:hAnsi="宋体" w:eastAsia="宋体" w:cs="宋体"/>
                <w:color w:val="auto"/>
                <w:sz w:val="24"/>
                <w:szCs w:val="24"/>
                <w:lang w:eastAsia="zh-CN"/>
              </w:rPr>
              <w:t>县交警队</w:t>
            </w:r>
            <w:r>
              <w:rPr>
                <w:rFonts w:hint="eastAsia" w:ascii="宋体" w:hAnsi="宋体" w:eastAsia="宋体" w:cs="宋体"/>
                <w:color w:val="auto"/>
                <w:sz w:val="24"/>
                <w:szCs w:val="24"/>
              </w:rPr>
              <w:t>、</w:t>
            </w:r>
            <w:r>
              <w:rPr>
                <w:rFonts w:hint="eastAsia" w:ascii="宋体" w:hAnsi="宋体" w:eastAsia="宋体" w:cs="宋体"/>
                <w:color w:val="auto"/>
                <w:sz w:val="24"/>
                <w:szCs w:val="24"/>
                <w:lang w:eastAsia="zh-CN"/>
              </w:rPr>
              <w:t>县</w:t>
            </w:r>
            <w:r>
              <w:rPr>
                <w:rFonts w:hint="eastAsia" w:ascii="宋体" w:hAnsi="宋体" w:eastAsia="宋体" w:cs="宋体"/>
                <w:color w:val="auto"/>
                <w:sz w:val="24"/>
                <w:szCs w:val="24"/>
              </w:rPr>
              <w:t>文旅局、</w:t>
            </w:r>
            <w:r>
              <w:rPr>
                <w:rFonts w:hint="eastAsia" w:ascii="宋体" w:hAnsi="宋体" w:eastAsia="宋体" w:cs="宋体"/>
                <w:color w:val="auto"/>
                <w:sz w:val="24"/>
                <w:szCs w:val="24"/>
                <w:lang w:eastAsia="zh-CN"/>
              </w:rPr>
              <w:t>县</w:t>
            </w:r>
            <w:r>
              <w:rPr>
                <w:rFonts w:hint="eastAsia" w:ascii="宋体" w:hAnsi="宋体" w:eastAsia="宋体" w:cs="宋体"/>
                <w:color w:val="auto"/>
                <w:sz w:val="24"/>
                <w:szCs w:val="24"/>
              </w:rPr>
              <w:t>应急</w:t>
            </w:r>
            <w:r>
              <w:rPr>
                <w:rFonts w:hint="eastAsia" w:ascii="宋体" w:hAnsi="宋体" w:eastAsia="宋体" w:cs="宋体"/>
                <w:color w:val="auto"/>
                <w:sz w:val="24"/>
                <w:szCs w:val="24"/>
                <w:lang w:eastAsia="zh-CN"/>
              </w:rPr>
              <w:t>管理</w:t>
            </w:r>
            <w:r>
              <w:rPr>
                <w:rFonts w:hint="eastAsia" w:ascii="宋体" w:hAnsi="宋体" w:eastAsia="宋体" w:cs="宋体"/>
                <w:color w:val="auto"/>
                <w:sz w:val="24"/>
                <w:szCs w:val="24"/>
              </w:rPr>
              <w:t>局、</w:t>
            </w:r>
            <w:r>
              <w:rPr>
                <w:rFonts w:hint="eastAsia" w:ascii="宋体" w:hAnsi="宋体" w:eastAsia="宋体" w:cs="宋体"/>
                <w:color w:val="auto"/>
                <w:sz w:val="24"/>
                <w:szCs w:val="24"/>
                <w:lang w:eastAsia="zh-CN"/>
              </w:rPr>
              <w:t>县</w:t>
            </w:r>
            <w:r>
              <w:rPr>
                <w:rFonts w:hint="eastAsia" w:ascii="宋体" w:hAnsi="宋体" w:eastAsia="宋体" w:cs="宋体"/>
                <w:color w:val="auto"/>
                <w:sz w:val="24"/>
                <w:szCs w:val="24"/>
                <w:lang w:val="en-US" w:eastAsia="zh-CN"/>
              </w:rPr>
              <w:t>人武部、</w:t>
            </w:r>
            <w:r>
              <w:rPr>
                <w:rFonts w:hint="eastAsia" w:ascii="宋体" w:hAnsi="宋体" w:eastAsia="宋体" w:cs="宋体"/>
                <w:color w:val="auto"/>
                <w:sz w:val="24"/>
                <w:szCs w:val="24"/>
              </w:rPr>
              <w:t>武警</w:t>
            </w:r>
            <w:r>
              <w:rPr>
                <w:rFonts w:hint="eastAsia" w:ascii="宋体" w:hAnsi="宋体" w:eastAsia="宋体" w:cs="宋体"/>
                <w:color w:val="auto"/>
                <w:sz w:val="24"/>
                <w:szCs w:val="24"/>
                <w:lang w:eastAsia="zh-CN"/>
              </w:rPr>
              <w:t>夏县</w:t>
            </w:r>
            <w:r>
              <w:rPr>
                <w:rFonts w:hint="eastAsia" w:ascii="宋体" w:hAnsi="宋体" w:eastAsia="宋体" w:cs="宋体"/>
                <w:color w:val="auto"/>
                <w:sz w:val="24"/>
                <w:szCs w:val="24"/>
              </w:rPr>
              <w:t>支队</w:t>
            </w:r>
          </w:p>
        </w:tc>
        <w:tc>
          <w:tcPr>
            <w:tcW w:w="7150" w:type="dxa"/>
            <w:vMerge w:val="continue"/>
            <w:vAlign w:val="top"/>
          </w:tcPr>
          <w:p>
            <w:pPr>
              <w:adjustRightInd w:val="0"/>
              <w:snapToGrid w:val="0"/>
              <w:spacing w:line="320" w:lineRule="exact"/>
              <w:rPr>
                <w:rFonts w:hint="eastAsia" w:ascii="宋体" w:hAnsi="宋体" w:eastAsia="宋体" w:cs="宋体"/>
                <w:color w:val="auto"/>
                <w:sz w:val="24"/>
                <w:szCs w:val="24"/>
              </w:rPr>
            </w:pPr>
          </w:p>
        </w:tc>
      </w:tr>
    </w:tbl>
    <w:p>
      <w:pPr>
        <w:rPr>
          <w:rFonts w:hint="eastAsia" w:ascii="CESI仿宋-GB2312" w:hAnsi="CESI仿宋-GB2312" w:eastAsia="CESI仿宋-GB2312" w:cs="CESI仿宋-GB2312"/>
          <w:color w:val="auto"/>
          <w:sz w:val="32"/>
          <w:szCs w:val="32"/>
        </w:rPr>
      </w:pPr>
      <w:r>
        <w:rPr>
          <w:rFonts w:hint="eastAsia" w:ascii="CESI仿宋-GB2312" w:hAnsi="CESI仿宋-GB2312" w:eastAsia="CESI仿宋-GB2312" w:cs="CESI仿宋-GB2312"/>
          <w:color w:val="auto"/>
          <w:sz w:val="32"/>
          <w:szCs w:val="32"/>
        </w:rPr>
        <w:br w:type="page"/>
      </w: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eastAsia" w:ascii="黑体" w:hAnsi="黑体" w:eastAsia="黑体" w:cs="黑体"/>
          <w:color w:val="auto"/>
          <w:sz w:val="32"/>
          <w:szCs w:val="32"/>
          <w:lang w:val="en"/>
        </w:rPr>
      </w:pPr>
      <w:r>
        <w:rPr>
          <w:rFonts w:hint="eastAsia" w:ascii="黑体" w:hAnsi="黑体" w:eastAsia="黑体" w:cs="黑体"/>
          <w:color w:val="auto"/>
          <w:sz w:val="32"/>
          <w:szCs w:val="32"/>
        </w:rPr>
        <w:t>附件</w:t>
      </w:r>
      <w:r>
        <w:rPr>
          <w:rFonts w:hint="eastAsia" w:ascii="黑体" w:hAnsi="黑体" w:eastAsia="黑体" w:cs="黑体"/>
          <w:color w:val="auto"/>
          <w:sz w:val="32"/>
          <w:szCs w:val="32"/>
          <w:lang w:val="en"/>
        </w:rPr>
        <w:t>4</w:t>
      </w:r>
    </w:p>
    <w:p>
      <w:pPr>
        <w:keepNext w:val="0"/>
        <w:keepLines w:val="0"/>
        <w:pageBreakBefore w:val="0"/>
        <w:widowControl w:val="0"/>
        <w:kinsoku/>
        <w:wordWrap/>
        <w:overflowPunct/>
        <w:topLinePunct w:val="0"/>
        <w:autoSpaceDE/>
        <w:autoSpaceDN/>
        <w:bidi w:val="0"/>
        <w:adjustRightInd w:val="0"/>
        <w:snapToGrid w:val="0"/>
        <w:spacing w:after="132" w:afterLines="40" w:line="650" w:lineRule="exact"/>
        <w:jc w:val="center"/>
        <w:textAlignment w:val="auto"/>
        <w:rPr>
          <w:rFonts w:hint="eastAsia" w:ascii="方正小标宋简体" w:hAnsi="方正小标宋简体" w:eastAsia="方正小标宋简体" w:cs="方正小标宋简体"/>
          <w:color w:val="auto"/>
          <w:sz w:val="44"/>
          <w:szCs w:val="44"/>
          <w:lang w:eastAsia="zh-CN"/>
        </w:rPr>
      </w:pPr>
      <w:r>
        <w:rPr>
          <w:rFonts w:hint="eastAsia" w:ascii="方正小标宋简体" w:hAnsi="方正小标宋简体" w:eastAsia="方正小标宋简体" w:cs="方正小标宋简体"/>
          <w:color w:val="auto"/>
          <w:sz w:val="44"/>
          <w:szCs w:val="44"/>
          <w:lang w:eastAsia="zh-CN"/>
        </w:rPr>
        <w:t>突发公共卫生事件分级</w:t>
      </w:r>
    </w:p>
    <w:tbl>
      <w:tblPr>
        <w:tblStyle w:val="7"/>
        <w:tblW w:w="138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3"/>
        <w:gridCol w:w="2647"/>
        <w:gridCol w:w="5141"/>
        <w:gridCol w:w="3546"/>
        <w:gridCol w:w="2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 w:hRule="atLeast"/>
          <w:jc w:val="center"/>
        </w:trPr>
        <w:tc>
          <w:tcPr>
            <w:tcW w:w="543" w:type="dxa"/>
            <w:vAlign w:val="center"/>
          </w:tcPr>
          <w:p>
            <w:pPr>
              <w:adjustRightInd w:val="0"/>
              <w:snapToGrid w:val="0"/>
              <w:spacing w:line="240" w:lineRule="exact"/>
              <w:jc w:val="center"/>
              <w:rPr>
                <w:rFonts w:hint="eastAsia" w:ascii="宋体" w:hAnsi="宋体" w:eastAsia="宋体" w:cs="宋体"/>
                <w:color w:val="auto"/>
                <w:sz w:val="21"/>
                <w:szCs w:val="21"/>
              </w:rPr>
            </w:pPr>
          </w:p>
        </w:tc>
        <w:tc>
          <w:tcPr>
            <w:tcW w:w="2647" w:type="dxa"/>
            <w:vAlign w:val="center"/>
          </w:tcPr>
          <w:p>
            <w:pPr>
              <w:adjustRightInd w:val="0"/>
              <w:snapToGrid w:val="0"/>
              <w:spacing w:line="2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特别重大</w:t>
            </w:r>
          </w:p>
        </w:tc>
        <w:tc>
          <w:tcPr>
            <w:tcW w:w="5141" w:type="dxa"/>
            <w:vAlign w:val="center"/>
          </w:tcPr>
          <w:p>
            <w:pPr>
              <w:adjustRightInd w:val="0"/>
              <w:snapToGrid w:val="0"/>
              <w:spacing w:line="2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重大</w:t>
            </w:r>
          </w:p>
        </w:tc>
        <w:tc>
          <w:tcPr>
            <w:tcW w:w="3546" w:type="dxa"/>
            <w:vAlign w:val="center"/>
          </w:tcPr>
          <w:p>
            <w:pPr>
              <w:adjustRightInd w:val="0"/>
              <w:snapToGrid w:val="0"/>
              <w:spacing w:line="2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较大</w:t>
            </w:r>
          </w:p>
        </w:tc>
        <w:tc>
          <w:tcPr>
            <w:tcW w:w="2021" w:type="dxa"/>
            <w:vAlign w:val="center"/>
          </w:tcPr>
          <w:p>
            <w:pPr>
              <w:adjustRightInd w:val="0"/>
              <w:snapToGrid w:val="0"/>
              <w:spacing w:line="2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8" w:hRule="atLeast"/>
          <w:jc w:val="center"/>
        </w:trPr>
        <w:tc>
          <w:tcPr>
            <w:tcW w:w="543" w:type="dxa"/>
            <w:vAlign w:val="top"/>
          </w:tcPr>
          <w:p>
            <w:pPr>
              <w:adjustRightInd w:val="0"/>
              <w:snapToGrid w:val="0"/>
              <w:spacing w:line="240" w:lineRule="exact"/>
              <w:jc w:val="center"/>
              <w:rPr>
                <w:rFonts w:hint="eastAsia" w:ascii="宋体" w:hAnsi="宋体" w:eastAsia="宋体" w:cs="宋体"/>
                <w:color w:val="auto"/>
                <w:sz w:val="21"/>
                <w:szCs w:val="21"/>
              </w:rPr>
            </w:pPr>
          </w:p>
          <w:p>
            <w:pPr>
              <w:adjustRightInd w:val="0"/>
              <w:snapToGrid w:val="0"/>
              <w:spacing w:line="240" w:lineRule="exact"/>
              <w:jc w:val="center"/>
              <w:rPr>
                <w:rFonts w:hint="eastAsia" w:ascii="宋体" w:hAnsi="宋体" w:eastAsia="宋体" w:cs="宋体"/>
                <w:color w:val="auto"/>
                <w:sz w:val="21"/>
                <w:szCs w:val="21"/>
              </w:rPr>
            </w:pPr>
          </w:p>
          <w:p>
            <w:pPr>
              <w:adjustRightInd w:val="0"/>
              <w:snapToGrid w:val="0"/>
              <w:spacing w:line="240" w:lineRule="exact"/>
              <w:jc w:val="center"/>
              <w:rPr>
                <w:rFonts w:hint="eastAsia" w:ascii="宋体" w:hAnsi="宋体" w:eastAsia="宋体" w:cs="宋体"/>
                <w:color w:val="auto"/>
                <w:sz w:val="21"/>
                <w:szCs w:val="21"/>
              </w:rPr>
            </w:pPr>
          </w:p>
          <w:p>
            <w:pPr>
              <w:adjustRightInd w:val="0"/>
              <w:snapToGrid w:val="0"/>
              <w:spacing w:line="240" w:lineRule="exact"/>
              <w:jc w:val="center"/>
              <w:rPr>
                <w:rFonts w:hint="eastAsia" w:ascii="宋体" w:hAnsi="宋体" w:eastAsia="宋体" w:cs="宋体"/>
                <w:color w:val="auto"/>
                <w:sz w:val="21"/>
                <w:szCs w:val="21"/>
              </w:rPr>
            </w:pPr>
          </w:p>
          <w:p>
            <w:pPr>
              <w:adjustRightInd w:val="0"/>
              <w:snapToGrid w:val="0"/>
              <w:spacing w:line="240" w:lineRule="exact"/>
              <w:jc w:val="center"/>
              <w:rPr>
                <w:rFonts w:hint="eastAsia" w:ascii="宋体" w:hAnsi="宋体" w:eastAsia="宋体" w:cs="宋体"/>
                <w:color w:val="auto"/>
                <w:sz w:val="21"/>
                <w:szCs w:val="21"/>
              </w:rPr>
            </w:pPr>
          </w:p>
          <w:p>
            <w:pPr>
              <w:adjustRightInd w:val="0"/>
              <w:snapToGrid w:val="0"/>
              <w:spacing w:line="240" w:lineRule="exact"/>
              <w:jc w:val="center"/>
              <w:rPr>
                <w:rFonts w:hint="eastAsia" w:ascii="宋体" w:hAnsi="宋体" w:eastAsia="宋体" w:cs="宋体"/>
                <w:color w:val="auto"/>
                <w:sz w:val="21"/>
                <w:szCs w:val="21"/>
              </w:rPr>
            </w:pPr>
          </w:p>
          <w:p>
            <w:pPr>
              <w:adjustRightInd w:val="0"/>
              <w:snapToGrid w:val="0"/>
              <w:spacing w:line="240" w:lineRule="exact"/>
              <w:jc w:val="center"/>
              <w:rPr>
                <w:rFonts w:hint="eastAsia" w:ascii="宋体" w:hAnsi="宋体" w:eastAsia="宋体" w:cs="宋体"/>
                <w:color w:val="auto"/>
                <w:sz w:val="21"/>
                <w:szCs w:val="21"/>
              </w:rPr>
            </w:pPr>
          </w:p>
          <w:p>
            <w:pPr>
              <w:adjustRightInd w:val="0"/>
              <w:snapToGrid w:val="0"/>
              <w:spacing w:line="240" w:lineRule="exact"/>
              <w:jc w:val="center"/>
              <w:rPr>
                <w:rFonts w:hint="eastAsia" w:ascii="宋体" w:hAnsi="宋体" w:eastAsia="宋体" w:cs="宋体"/>
                <w:color w:val="auto"/>
                <w:sz w:val="21"/>
                <w:szCs w:val="21"/>
              </w:rPr>
            </w:pPr>
          </w:p>
          <w:p>
            <w:pPr>
              <w:adjustRightInd w:val="0"/>
              <w:snapToGrid w:val="0"/>
              <w:spacing w:line="240" w:lineRule="exact"/>
              <w:jc w:val="center"/>
              <w:rPr>
                <w:rFonts w:hint="eastAsia" w:ascii="宋体" w:hAnsi="宋体" w:eastAsia="宋体" w:cs="宋体"/>
                <w:color w:val="auto"/>
                <w:sz w:val="21"/>
                <w:szCs w:val="21"/>
              </w:rPr>
            </w:pPr>
          </w:p>
          <w:p>
            <w:pPr>
              <w:adjustRightInd w:val="0"/>
              <w:snapToGrid w:val="0"/>
              <w:spacing w:line="240" w:lineRule="exact"/>
              <w:jc w:val="center"/>
              <w:rPr>
                <w:rFonts w:hint="eastAsia" w:ascii="宋体" w:hAnsi="宋体" w:eastAsia="宋体" w:cs="宋体"/>
                <w:color w:val="auto"/>
                <w:sz w:val="21"/>
                <w:szCs w:val="21"/>
              </w:rPr>
            </w:pPr>
          </w:p>
          <w:p>
            <w:pPr>
              <w:adjustRightInd w:val="0"/>
              <w:snapToGrid w:val="0"/>
              <w:spacing w:line="240" w:lineRule="exact"/>
              <w:jc w:val="center"/>
              <w:rPr>
                <w:rFonts w:hint="eastAsia" w:ascii="宋体" w:hAnsi="宋体" w:eastAsia="宋体" w:cs="宋体"/>
                <w:color w:val="auto"/>
                <w:sz w:val="21"/>
                <w:szCs w:val="21"/>
              </w:rPr>
            </w:pPr>
          </w:p>
          <w:p>
            <w:pPr>
              <w:adjustRightInd w:val="0"/>
              <w:snapToGrid w:val="0"/>
              <w:spacing w:line="240" w:lineRule="exact"/>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事</w:t>
            </w:r>
          </w:p>
          <w:p>
            <w:pPr>
              <w:adjustRightInd w:val="0"/>
              <w:snapToGrid w:val="0"/>
              <w:spacing w:line="240" w:lineRule="exact"/>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件</w:t>
            </w:r>
          </w:p>
          <w:p>
            <w:pPr>
              <w:adjustRightInd w:val="0"/>
              <w:snapToGrid w:val="0"/>
              <w:spacing w:line="240" w:lineRule="exact"/>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分</w:t>
            </w:r>
          </w:p>
          <w:p>
            <w:pPr>
              <w:adjustRightInd w:val="0"/>
              <w:snapToGrid w:val="0"/>
              <w:spacing w:line="240" w:lineRule="exact"/>
              <w:jc w:val="center"/>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rPr>
              <w:t>级</w:t>
            </w:r>
            <w:r>
              <w:rPr>
                <w:rFonts w:hint="eastAsia" w:ascii="宋体" w:hAnsi="宋体" w:eastAsia="宋体" w:cs="宋体"/>
                <w:b/>
                <w:bCs/>
                <w:color w:val="auto"/>
                <w:sz w:val="21"/>
                <w:szCs w:val="21"/>
                <w:lang w:val="en-US" w:eastAsia="zh-CN"/>
              </w:rPr>
              <w:t>指标</w:t>
            </w:r>
          </w:p>
          <w:p>
            <w:pPr>
              <w:pStyle w:val="6"/>
              <w:rPr>
                <w:rFonts w:hint="eastAsia" w:ascii="宋体" w:hAnsi="宋体" w:eastAsia="宋体" w:cs="宋体"/>
                <w:color w:val="auto"/>
                <w:sz w:val="21"/>
                <w:szCs w:val="21"/>
              </w:rPr>
            </w:pPr>
          </w:p>
          <w:p>
            <w:pPr>
              <w:pStyle w:val="6"/>
              <w:rPr>
                <w:rFonts w:hint="eastAsia" w:ascii="宋体" w:hAnsi="宋体" w:eastAsia="宋体" w:cs="宋体"/>
                <w:b/>
                <w:bCs/>
                <w:color w:val="auto"/>
                <w:sz w:val="21"/>
                <w:szCs w:val="21"/>
              </w:rPr>
            </w:pPr>
          </w:p>
          <w:p>
            <w:pPr>
              <w:pStyle w:val="6"/>
              <w:rPr>
                <w:rFonts w:hint="eastAsia" w:ascii="宋体" w:hAnsi="宋体" w:eastAsia="宋体" w:cs="宋体"/>
                <w:b/>
                <w:bCs/>
                <w:color w:val="auto"/>
                <w:sz w:val="21"/>
                <w:szCs w:val="21"/>
              </w:rPr>
            </w:pPr>
          </w:p>
        </w:tc>
        <w:tc>
          <w:tcPr>
            <w:tcW w:w="2647" w:type="dxa"/>
            <w:vAlign w:val="center"/>
          </w:tcPr>
          <w:p>
            <w:pPr>
              <w:keepNext w:val="0"/>
              <w:keepLines w:val="0"/>
              <w:pageBreakBefore w:val="0"/>
              <w:widowControl w:val="0"/>
              <w:kinsoku/>
              <w:wordWrap/>
              <w:overflowPunct/>
              <w:topLinePunct w:val="0"/>
              <w:autoSpaceDE/>
              <w:autoSpaceDN/>
              <w:bidi w:val="0"/>
              <w:adjustRightInd w:val="0"/>
              <w:snapToGrid w:val="0"/>
              <w:spacing w:line="220" w:lineRule="exact"/>
              <w:ind w:firstLine="210" w:firstLineChars="1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有下列情形之一的为特别重大突发公共卫生事件：</w:t>
            </w:r>
          </w:p>
          <w:p>
            <w:pPr>
              <w:keepNext w:val="0"/>
              <w:keepLines w:val="0"/>
              <w:pageBreakBefore w:val="0"/>
              <w:widowControl w:val="0"/>
              <w:kinsoku/>
              <w:wordWrap/>
              <w:overflowPunct/>
              <w:topLinePunct w:val="0"/>
              <w:autoSpaceDE/>
              <w:autoSpaceDN/>
              <w:bidi w:val="0"/>
              <w:adjustRightInd w:val="0"/>
              <w:snapToGrid w:val="0"/>
              <w:spacing w:line="220" w:lineRule="exact"/>
              <w:ind w:firstLine="210" w:firstLineChars="1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（1）肺鼠疫、肺炭疽在大、中城市发生并有扩散趋势，或肺鼠疫、肺炭疽疫情波及2个以上省份，并有进一步扩散趋势。</w:t>
            </w:r>
          </w:p>
          <w:p>
            <w:pPr>
              <w:keepNext w:val="0"/>
              <w:keepLines w:val="0"/>
              <w:pageBreakBefore w:val="0"/>
              <w:widowControl w:val="0"/>
              <w:kinsoku/>
              <w:wordWrap/>
              <w:overflowPunct/>
              <w:topLinePunct w:val="0"/>
              <w:autoSpaceDE/>
              <w:autoSpaceDN/>
              <w:bidi w:val="0"/>
              <w:adjustRightInd w:val="0"/>
              <w:snapToGrid w:val="0"/>
              <w:spacing w:line="220" w:lineRule="exact"/>
              <w:ind w:firstLine="210" w:firstLineChars="1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（2）发生传染性非典型肺炎、人感染高致病性禽流感病例，并有扩散趋势。</w:t>
            </w:r>
          </w:p>
          <w:p>
            <w:pPr>
              <w:keepNext w:val="0"/>
              <w:keepLines w:val="0"/>
              <w:pageBreakBefore w:val="0"/>
              <w:widowControl w:val="0"/>
              <w:kinsoku/>
              <w:wordWrap/>
              <w:overflowPunct/>
              <w:topLinePunct w:val="0"/>
              <w:autoSpaceDE/>
              <w:autoSpaceDN/>
              <w:bidi w:val="0"/>
              <w:adjustRightInd w:val="0"/>
              <w:snapToGrid w:val="0"/>
              <w:spacing w:line="220" w:lineRule="exact"/>
              <w:ind w:firstLine="210" w:firstLineChars="1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（3）涉及多个省份的群体性不明原因疾病，并有扩散趋势。</w:t>
            </w:r>
          </w:p>
          <w:p>
            <w:pPr>
              <w:keepNext w:val="0"/>
              <w:keepLines w:val="0"/>
              <w:pageBreakBefore w:val="0"/>
              <w:widowControl w:val="0"/>
              <w:kinsoku/>
              <w:wordWrap/>
              <w:overflowPunct/>
              <w:topLinePunct w:val="0"/>
              <w:autoSpaceDE/>
              <w:autoSpaceDN/>
              <w:bidi w:val="0"/>
              <w:adjustRightInd w:val="0"/>
              <w:snapToGrid w:val="0"/>
              <w:spacing w:line="220" w:lineRule="exact"/>
              <w:ind w:firstLine="210" w:firstLineChars="1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（4）发生新传染病或我国尚未发现的传染病发生或传入，并有扩散趋势，或发现我国已消灭的传染病重新流行。</w:t>
            </w:r>
          </w:p>
          <w:p>
            <w:pPr>
              <w:keepNext w:val="0"/>
              <w:keepLines w:val="0"/>
              <w:pageBreakBefore w:val="0"/>
              <w:widowControl w:val="0"/>
              <w:kinsoku/>
              <w:wordWrap/>
              <w:overflowPunct/>
              <w:topLinePunct w:val="0"/>
              <w:autoSpaceDE/>
              <w:autoSpaceDN/>
              <w:bidi w:val="0"/>
              <w:adjustRightInd w:val="0"/>
              <w:snapToGrid w:val="0"/>
              <w:spacing w:line="220" w:lineRule="exact"/>
              <w:ind w:firstLine="210" w:firstLineChars="1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（5）发生烈性病菌株、毒株、致病因子等丢失事件。</w:t>
            </w:r>
          </w:p>
          <w:p>
            <w:pPr>
              <w:keepNext w:val="0"/>
              <w:keepLines w:val="0"/>
              <w:pageBreakBefore w:val="0"/>
              <w:widowControl w:val="0"/>
              <w:kinsoku/>
              <w:wordWrap/>
              <w:overflowPunct/>
              <w:topLinePunct w:val="0"/>
              <w:autoSpaceDE/>
              <w:autoSpaceDN/>
              <w:bidi w:val="0"/>
              <w:adjustRightInd w:val="0"/>
              <w:snapToGrid w:val="0"/>
              <w:spacing w:line="220" w:lineRule="exact"/>
              <w:ind w:firstLine="210" w:firstLineChars="1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（6）周边以及与我国通航的国家和地区发生特大传染病疫情，并出现输入性病例，严重危及我国公共卫生安全的事件。</w:t>
            </w:r>
          </w:p>
          <w:p>
            <w:pPr>
              <w:keepNext w:val="0"/>
              <w:keepLines w:val="0"/>
              <w:pageBreakBefore w:val="0"/>
              <w:widowControl w:val="0"/>
              <w:kinsoku/>
              <w:wordWrap/>
              <w:overflowPunct/>
              <w:topLinePunct w:val="0"/>
              <w:autoSpaceDE/>
              <w:autoSpaceDN/>
              <w:bidi w:val="0"/>
              <w:adjustRightInd w:val="0"/>
              <w:snapToGrid w:val="0"/>
              <w:spacing w:line="220" w:lineRule="exact"/>
              <w:ind w:firstLine="210" w:firstLineChars="1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（7）国务院卫健行政部门认定的其他特别重大突发公共卫生事件。</w:t>
            </w:r>
          </w:p>
        </w:tc>
        <w:tc>
          <w:tcPr>
            <w:tcW w:w="5141" w:type="dxa"/>
            <w:vAlign w:val="center"/>
          </w:tcPr>
          <w:p>
            <w:pPr>
              <w:keepNext w:val="0"/>
              <w:keepLines w:val="0"/>
              <w:pageBreakBefore w:val="0"/>
              <w:widowControl w:val="0"/>
              <w:kinsoku/>
              <w:wordWrap/>
              <w:overflowPunct/>
              <w:topLinePunct w:val="0"/>
              <w:autoSpaceDE/>
              <w:autoSpaceDN/>
              <w:bidi w:val="0"/>
              <w:adjustRightInd w:val="0"/>
              <w:snapToGrid w:val="0"/>
              <w:spacing w:line="220" w:lineRule="exact"/>
              <w:ind w:firstLine="210" w:firstLineChars="1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有下列情形之一的为重大突发公共卫生事件：</w:t>
            </w:r>
          </w:p>
          <w:p>
            <w:pPr>
              <w:keepNext w:val="0"/>
              <w:keepLines w:val="0"/>
              <w:pageBreakBefore w:val="0"/>
              <w:widowControl w:val="0"/>
              <w:kinsoku/>
              <w:wordWrap/>
              <w:overflowPunct/>
              <w:topLinePunct w:val="0"/>
              <w:autoSpaceDE/>
              <w:autoSpaceDN/>
              <w:bidi w:val="0"/>
              <w:adjustRightInd w:val="0"/>
              <w:snapToGrid w:val="0"/>
              <w:spacing w:line="220" w:lineRule="exact"/>
              <w:ind w:firstLine="210" w:firstLineChars="1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（1）在一个县（区、市）行政区域内，一个平均潜伏期内（6天）发生5例以上肺鼠疫、肺炭疽病例，或者相关联的疫情波及2个以上的县（区、市）。</w:t>
            </w:r>
          </w:p>
          <w:p>
            <w:pPr>
              <w:keepNext w:val="0"/>
              <w:keepLines w:val="0"/>
              <w:pageBreakBefore w:val="0"/>
              <w:widowControl w:val="0"/>
              <w:kinsoku/>
              <w:wordWrap/>
              <w:overflowPunct/>
              <w:topLinePunct w:val="0"/>
              <w:autoSpaceDE/>
              <w:autoSpaceDN/>
              <w:bidi w:val="0"/>
              <w:adjustRightInd w:val="0"/>
              <w:snapToGrid w:val="0"/>
              <w:spacing w:line="220" w:lineRule="exact"/>
              <w:ind w:firstLine="210" w:firstLineChars="1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（2）发生传染性非典型肺炎、人感染高致病性禽流感疑似病例。</w:t>
            </w:r>
          </w:p>
          <w:p>
            <w:pPr>
              <w:keepNext w:val="0"/>
              <w:keepLines w:val="0"/>
              <w:pageBreakBefore w:val="0"/>
              <w:widowControl w:val="0"/>
              <w:kinsoku/>
              <w:wordWrap/>
              <w:overflowPunct/>
              <w:topLinePunct w:val="0"/>
              <w:autoSpaceDE/>
              <w:autoSpaceDN/>
              <w:bidi w:val="0"/>
              <w:adjustRightInd w:val="0"/>
              <w:snapToGrid w:val="0"/>
              <w:spacing w:line="220" w:lineRule="exact"/>
              <w:ind w:firstLine="210" w:firstLineChars="1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（3）腺鼠疫发生流行，在一个市行政区域内，一个平均潜伏期内多点连续发病20例以上，或流行范围波及2个以上市。</w:t>
            </w:r>
          </w:p>
          <w:p>
            <w:pPr>
              <w:keepNext w:val="0"/>
              <w:keepLines w:val="0"/>
              <w:pageBreakBefore w:val="0"/>
              <w:widowControl w:val="0"/>
              <w:kinsoku/>
              <w:wordWrap/>
              <w:overflowPunct/>
              <w:topLinePunct w:val="0"/>
              <w:autoSpaceDE/>
              <w:autoSpaceDN/>
              <w:bidi w:val="0"/>
              <w:adjustRightInd w:val="0"/>
              <w:snapToGrid w:val="0"/>
              <w:spacing w:line="220" w:lineRule="exact"/>
              <w:ind w:firstLine="210" w:firstLineChars="1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（4）霍乱在一个市行政区域内流行，1周内发病30例以上，或波及2个以上市，有扩散趋势。</w:t>
            </w:r>
          </w:p>
          <w:p>
            <w:pPr>
              <w:keepNext w:val="0"/>
              <w:keepLines w:val="0"/>
              <w:pageBreakBefore w:val="0"/>
              <w:widowControl w:val="0"/>
              <w:kinsoku/>
              <w:wordWrap/>
              <w:overflowPunct/>
              <w:topLinePunct w:val="0"/>
              <w:autoSpaceDE/>
              <w:autoSpaceDN/>
              <w:bidi w:val="0"/>
              <w:adjustRightInd w:val="0"/>
              <w:snapToGrid w:val="0"/>
              <w:spacing w:line="220" w:lineRule="exact"/>
              <w:ind w:firstLine="210" w:firstLineChars="1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（5）乙类、丙类传染病波及2个以上县（区、市），1周内发病水平超过前5年同期平均发病水平2倍以上。</w:t>
            </w:r>
          </w:p>
          <w:p>
            <w:pPr>
              <w:keepNext w:val="0"/>
              <w:keepLines w:val="0"/>
              <w:pageBreakBefore w:val="0"/>
              <w:widowControl w:val="0"/>
              <w:kinsoku/>
              <w:wordWrap/>
              <w:overflowPunct/>
              <w:topLinePunct w:val="0"/>
              <w:autoSpaceDE/>
              <w:autoSpaceDN/>
              <w:bidi w:val="0"/>
              <w:adjustRightInd w:val="0"/>
              <w:snapToGrid w:val="0"/>
              <w:spacing w:line="220" w:lineRule="exact"/>
              <w:ind w:firstLine="210" w:firstLineChars="1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（6）我国尚未发现的传染病发生或传入，尚未造成扩散。</w:t>
            </w:r>
          </w:p>
          <w:p>
            <w:pPr>
              <w:keepNext w:val="0"/>
              <w:keepLines w:val="0"/>
              <w:pageBreakBefore w:val="0"/>
              <w:widowControl w:val="0"/>
              <w:kinsoku/>
              <w:wordWrap/>
              <w:overflowPunct/>
              <w:topLinePunct w:val="0"/>
              <w:autoSpaceDE/>
              <w:autoSpaceDN/>
              <w:bidi w:val="0"/>
              <w:adjustRightInd w:val="0"/>
              <w:snapToGrid w:val="0"/>
              <w:spacing w:line="220" w:lineRule="exact"/>
              <w:ind w:firstLine="210" w:firstLineChars="1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（7）发生群体性不明原因疾病，扩散到县（区、市）以外的地区。</w:t>
            </w:r>
          </w:p>
          <w:p>
            <w:pPr>
              <w:keepNext w:val="0"/>
              <w:keepLines w:val="0"/>
              <w:pageBreakBefore w:val="0"/>
              <w:widowControl w:val="0"/>
              <w:kinsoku/>
              <w:wordWrap/>
              <w:overflowPunct/>
              <w:topLinePunct w:val="0"/>
              <w:autoSpaceDE/>
              <w:autoSpaceDN/>
              <w:bidi w:val="0"/>
              <w:adjustRightInd w:val="0"/>
              <w:snapToGrid w:val="0"/>
              <w:spacing w:line="220" w:lineRule="exact"/>
              <w:ind w:firstLine="210" w:firstLineChars="1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（8）发生重大医源性感染事件。</w:t>
            </w:r>
          </w:p>
          <w:p>
            <w:pPr>
              <w:keepNext w:val="0"/>
              <w:keepLines w:val="0"/>
              <w:pageBreakBefore w:val="0"/>
              <w:widowControl w:val="0"/>
              <w:kinsoku/>
              <w:wordWrap/>
              <w:overflowPunct/>
              <w:topLinePunct w:val="0"/>
              <w:autoSpaceDE/>
              <w:autoSpaceDN/>
              <w:bidi w:val="0"/>
              <w:adjustRightInd w:val="0"/>
              <w:snapToGrid w:val="0"/>
              <w:spacing w:line="220" w:lineRule="exact"/>
              <w:ind w:firstLine="210" w:firstLineChars="1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（9）预防接种或群体性预防性服药出现人员死亡。</w:t>
            </w:r>
          </w:p>
          <w:p>
            <w:pPr>
              <w:keepNext w:val="0"/>
              <w:keepLines w:val="0"/>
              <w:pageBreakBefore w:val="0"/>
              <w:widowControl w:val="0"/>
              <w:kinsoku/>
              <w:wordWrap/>
              <w:overflowPunct/>
              <w:topLinePunct w:val="0"/>
              <w:autoSpaceDE/>
              <w:autoSpaceDN/>
              <w:bidi w:val="0"/>
              <w:adjustRightInd w:val="0"/>
              <w:snapToGrid w:val="0"/>
              <w:spacing w:line="220" w:lineRule="exact"/>
              <w:ind w:firstLine="210" w:firstLineChars="1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（10）一次食物中毒人数超过100人并出现死亡病例，或出现10例以上死亡病例。</w:t>
            </w:r>
          </w:p>
          <w:p>
            <w:pPr>
              <w:keepNext w:val="0"/>
              <w:keepLines w:val="0"/>
              <w:pageBreakBefore w:val="0"/>
              <w:widowControl w:val="0"/>
              <w:kinsoku/>
              <w:wordWrap/>
              <w:overflowPunct/>
              <w:topLinePunct w:val="0"/>
              <w:autoSpaceDE/>
              <w:autoSpaceDN/>
              <w:bidi w:val="0"/>
              <w:adjustRightInd w:val="0"/>
              <w:snapToGrid w:val="0"/>
              <w:spacing w:line="220" w:lineRule="exact"/>
              <w:ind w:firstLine="210" w:firstLineChars="1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（11）一次发生急性职业中毒50人以上，或死亡5人以上。</w:t>
            </w:r>
          </w:p>
          <w:p>
            <w:pPr>
              <w:keepNext w:val="0"/>
              <w:keepLines w:val="0"/>
              <w:pageBreakBefore w:val="0"/>
              <w:widowControl w:val="0"/>
              <w:kinsoku/>
              <w:wordWrap/>
              <w:overflowPunct/>
              <w:topLinePunct w:val="0"/>
              <w:autoSpaceDE/>
              <w:autoSpaceDN/>
              <w:bidi w:val="0"/>
              <w:adjustRightInd w:val="0"/>
              <w:snapToGrid w:val="0"/>
              <w:spacing w:line="220" w:lineRule="exact"/>
              <w:ind w:firstLine="210" w:firstLineChars="1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（12）境内外隐匿运输、邮寄烈性生物病原体、生物毒素，造成辖区内人员感染或死亡的。</w:t>
            </w:r>
          </w:p>
          <w:p>
            <w:pPr>
              <w:keepNext w:val="0"/>
              <w:keepLines w:val="0"/>
              <w:pageBreakBefore w:val="0"/>
              <w:widowControl w:val="0"/>
              <w:kinsoku/>
              <w:wordWrap/>
              <w:overflowPunct/>
              <w:topLinePunct w:val="0"/>
              <w:autoSpaceDE/>
              <w:autoSpaceDN/>
              <w:bidi w:val="0"/>
              <w:adjustRightInd w:val="0"/>
              <w:snapToGrid w:val="0"/>
              <w:spacing w:line="220" w:lineRule="exact"/>
              <w:ind w:firstLine="210" w:firstLineChars="1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（13）省级以上人民政府卫健部门认定的其他重大突发公共卫生事件。</w:t>
            </w:r>
          </w:p>
        </w:tc>
        <w:tc>
          <w:tcPr>
            <w:tcW w:w="3546" w:type="dxa"/>
            <w:vAlign w:val="center"/>
          </w:tcPr>
          <w:p>
            <w:pPr>
              <w:keepNext w:val="0"/>
              <w:keepLines w:val="0"/>
              <w:pageBreakBefore w:val="0"/>
              <w:widowControl w:val="0"/>
              <w:kinsoku/>
              <w:wordWrap/>
              <w:overflowPunct/>
              <w:topLinePunct w:val="0"/>
              <w:autoSpaceDE/>
              <w:autoSpaceDN/>
              <w:bidi w:val="0"/>
              <w:adjustRightInd w:val="0"/>
              <w:snapToGrid w:val="0"/>
              <w:spacing w:line="220" w:lineRule="exact"/>
              <w:ind w:firstLine="210" w:firstLineChars="1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有下列情形之一的为较大突发公共卫生事件：</w:t>
            </w:r>
          </w:p>
          <w:p>
            <w:pPr>
              <w:keepNext w:val="0"/>
              <w:keepLines w:val="0"/>
              <w:pageBreakBefore w:val="0"/>
              <w:widowControl w:val="0"/>
              <w:kinsoku/>
              <w:wordWrap/>
              <w:overflowPunct/>
              <w:topLinePunct w:val="0"/>
              <w:autoSpaceDE/>
              <w:autoSpaceDN/>
              <w:bidi w:val="0"/>
              <w:adjustRightInd w:val="0"/>
              <w:snapToGrid w:val="0"/>
              <w:spacing w:line="220" w:lineRule="exact"/>
              <w:ind w:firstLine="210" w:firstLineChars="1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（1）发生肺鼠疫、肺炭疽病例，一个平均潜伏期内病例数未超过5例，流行范围在一个县（区、市）行政区域以内。</w:t>
            </w:r>
          </w:p>
          <w:p>
            <w:pPr>
              <w:keepNext w:val="0"/>
              <w:keepLines w:val="0"/>
              <w:pageBreakBefore w:val="0"/>
              <w:widowControl w:val="0"/>
              <w:kinsoku/>
              <w:wordWrap/>
              <w:overflowPunct/>
              <w:topLinePunct w:val="0"/>
              <w:autoSpaceDE/>
              <w:autoSpaceDN/>
              <w:bidi w:val="0"/>
              <w:adjustRightInd w:val="0"/>
              <w:snapToGrid w:val="0"/>
              <w:spacing w:line="220" w:lineRule="exact"/>
              <w:ind w:firstLine="210" w:firstLineChars="1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（2）腺鼠疫发生流行，在一个县（区、市）行政区域内，一个平均潜伏期内连续发病10例以上，或波及2个以上县（区、市）。</w:t>
            </w:r>
          </w:p>
          <w:p>
            <w:pPr>
              <w:keepNext w:val="0"/>
              <w:keepLines w:val="0"/>
              <w:pageBreakBefore w:val="0"/>
              <w:widowControl w:val="0"/>
              <w:kinsoku/>
              <w:wordWrap/>
              <w:overflowPunct/>
              <w:topLinePunct w:val="0"/>
              <w:autoSpaceDE/>
              <w:autoSpaceDN/>
              <w:bidi w:val="0"/>
              <w:adjustRightInd w:val="0"/>
              <w:snapToGrid w:val="0"/>
              <w:spacing w:line="220" w:lineRule="exact"/>
              <w:ind w:firstLine="210" w:firstLineChars="1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（3）霍乱在一个县（区、市）行政区域内发生，1周内发病10～29例或波及2个以上县（区、市），或市级以上城市的市区首次发生。</w:t>
            </w:r>
          </w:p>
          <w:p>
            <w:pPr>
              <w:keepNext w:val="0"/>
              <w:keepLines w:val="0"/>
              <w:pageBreakBefore w:val="0"/>
              <w:widowControl w:val="0"/>
              <w:kinsoku/>
              <w:wordWrap/>
              <w:overflowPunct/>
              <w:topLinePunct w:val="0"/>
              <w:autoSpaceDE/>
              <w:autoSpaceDN/>
              <w:bidi w:val="0"/>
              <w:adjustRightInd w:val="0"/>
              <w:snapToGrid w:val="0"/>
              <w:spacing w:line="220" w:lineRule="exact"/>
              <w:ind w:firstLine="210" w:firstLineChars="1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（4）一周内在一个县（区、市）行政区域内，乙、丙类传染病发病水平超过前5年同期平均发病水平1倍以上。</w:t>
            </w:r>
          </w:p>
          <w:p>
            <w:pPr>
              <w:keepNext w:val="0"/>
              <w:keepLines w:val="0"/>
              <w:pageBreakBefore w:val="0"/>
              <w:widowControl w:val="0"/>
              <w:kinsoku/>
              <w:wordWrap/>
              <w:overflowPunct/>
              <w:topLinePunct w:val="0"/>
              <w:autoSpaceDE/>
              <w:autoSpaceDN/>
              <w:bidi w:val="0"/>
              <w:adjustRightInd w:val="0"/>
              <w:snapToGrid w:val="0"/>
              <w:spacing w:line="220" w:lineRule="exact"/>
              <w:ind w:firstLine="210" w:firstLineChars="1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（5）在一个县（区、市）行政区域内发现群体性不明原因疾病。</w:t>
            </w:r>
          </w:p>
          <w:p>
            <w:pPr>
              <w:keepNext w:val="0"/>
              <w:keepLines w:val="0"/>
              <w:pageBreakBefore w:val="0"/>
              <w:widowControl w:val="0"/>
              <w:kinsoku/>
              <w:wordWrap/>
              <w:overflowPunct/>
              <w:topLinePunct w:val="0"/>
              <w:autoSpaceDE/>
              <w:autoSpaceDN/>
              <w:bidi w:val="0"/>
              <w:adjustRightInd w:val="0"/>
              <w:snapToGrid w:val="0"/>
              <w:spacing w:line="220" w:lineRule="exact"/>
              <w:ind w:firstLine="210" w:firstLineChars="1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（6）一次食物中毒人数超过100人，或出现死亡病例。</w:t>
            </w:r>
          </w:p>
          <w:p>
            <w:pPr>
              <w:keepNext w:val="0"/>
              <w:keepLines w:val="0"/>
              <w:pageBreakBefore w:val="0"/>
              <w:widowControl w:val="0"/>
              <w:kinsoku/>
              <w:wordWrap/>
              <w:overflowPunct/>
              <w:topLinePunct w:val="0"/>
              <w:autoSpaceDE/>
              <w:autoSpaceDN/>
              <w:bidi w:val="0"/>
              <w:adjustRightInd w:val="0"/>
              <w:snapToGrid w:val="0"/>
              <w:spacing w:line="220" w:lineRule="exact"/>
              <w:ind w:firstLine="210" w:firstLineChars="1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（7）预防接种或群体性预防性服药出现群体心因性反应或不良反应。</w:t>
            </w:r>
          </w:p>
          <w:p>
            <w:pPr>
              <w:keepNext w:val="0"/>
              <w:keepLines w:val="0"/>
              <w:pageBreakBefore w:val="0"/>
              <w:widowControl w:val="0"/>
              <w:kinsoku/>
              <w:wordWrap/>
              <w:overflowPunct/>
              <w:topLinePunct w:val="0"/>
              <w:autoSpaceDE/>
              <w:autoSpaceDN/>
              <w:bidi w:val="0"/>
              <w:adjustRightInd w:val="0"/>
              <w:snapToGrid w:val="0"/>
              <w:spacing w:line="220" w:lineRule="exact"/>
              <w:ind w:firstLine="210" w:firstLineChars="1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（8）一次发生急性职业中毒10～49人，或死亡4人以下。</w:t>
            </w:r>
          </w:p>
          <w:p>
            <w:pPr>
              <w:keepNext w:val="0"/>
              <w:keepLines w:val="0"/>
              <w:pageBreakBefore w:val="0"/>
              <w:widowControl w:val="0"/>
              <w:kinsoku/>
              <w:wordWrap/>
              <w:overflowPunct/>
              <w:topLinePunct w:val="0"/>
              <w:autoSpaceDE/>
              <w:autoSpaceDN/>
              <w:bidi w:val="0"/>
              <w:adjustRightInd w:val="0"/>
              <w:snapToGrid w:val="0"/>
              <w:spacing w:line="220" w:lineRule="exact"/>
              <w:ind w:firstLine="210" w:firstLineChars="1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（9）市级以上人民政府卫健部门认定的其他较大突发公共卫生事件。</w:t>
            </w:r>
          </w:p>
        </w:tc>
        <w:tc>
          <w:tcPr>
            <w:tcW w:w="2021" w:type="dxa"/>
            <w:vAlign w:val="center"/>
          </w:tcPr>
          <w:p>
            <w:pPr>
              <w:keepNext w:val="0"/>
              <w:keepLines w:val="0"/>
              <w:pageBreakBefore w:val="0"/>
              <w:widowControl w:val="0"/>
              <w:kinsoku/>
              <w:wordWrap/>
              <w:overflowPunct/>
              <w:topLinePunct w:val="0"/>
              <w:autoSpaceDE/>
              <w:autoSpaceDN/>
              <w:bidi w:val="0"/>
              <w:adjustRightInd w:val="0"/>
              <w:snapToGrid w:val="0"/>
              <w:spacing w:line="220" w:lineRule="exact"/>
              <w:ind w:firstLine="210" w:firstLineChars="1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有下列情形之一的为一般突发公共卫生事件：</w:t>
            </w:r>
          </w:p>
          <w:p>
            <w:pPr>
              <w:keepNext w:val="0"/>
              <w:keepLines w:val="0"/>
              <w:pageBreakBefore w:val="0"/>
              <w:widowControl w:val="0"/>
              <w:kinsoku/>
              <w:wordWrap/>
              <w:overflowPunct/>
              <w:topLinePunct w:val="0"/>
              <w:autoSpaceDE/>
              <w:autoSpaceDN/>
              <w:bidi w:val="0"/>
              <w:adjustRightInd w:val="0"/>
              <w:snapToGrid w:val="0"/>
              <w:spacing w:line="220" w:lineRule="exact"/>
              <w:ind w:firstLine="210" w:firstLineChars="1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（1）腺鼠疫在一个县（区、市）行政区域内发生，一个平均潜伏期内病例数未超过10例。</w:t>
            </w:r>
          </w:p>
          <w:p>
            <w:pPr>
              <w:keepNext w:val="0"/>
              <w:keepLines w:val="0"/>
              <w:pageBreakBefore w:val="0"/>
              <w:widowControl w:val="0"/>
              <w:kinsoku/>
              <w:wordWrap/>
              <w:overflowPunct/>
              <w:topLinePunct w:val="0"/>
              <w:autoSpaceDE/>
              <w:autoSpaceDN/>
              <w:bidi w:val="0"/>
              <w:adjustRightInd w:val="0"/>
              <w:snapToGrid w:val="0"/>
              <w:spacing w:line="220" w:lineRule="exact"/>
              <w:ind w:firstLine="210" w:firstLineChars="1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（2）霍乱在一个县（区、市）行政区域内发生，1周内发病9例以下。</w:t>
            </w:r>
          </w:p>
          <w:p>
            <w:pPr>
              <w:keepNext w:val="0"/>
              <w:keepLines w:val="0"/>
              <w:pageBreakBefore w:val="0"/>
              <w:widowControl w:val="0"/>
              <w:kinsoku/>
              <w:wordWrap/>
              <w:overflowPunct/>
              <w:topLinePunct w:val="0"/>
              <w:autoSpaceDE/>
              <w:autoSpaceDN/>
              <w:bidi w:val="0"/>
              <w:adjustRightInd w:val="0"/>
              <w:snapToGrid w:val="0"/>
              <w:spacing w:line="220" w:lineRule="exact"/>
              <w:ind w:firstLine="210" w:firstLineChars="1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（3）一次食物中毒人数30～99人，未出现死亡病例。</w:t>
            </w:r>
          </w:p>
          <w:p>
            <w:pPr>
              <w:keepNext w:val="0"/>
              <w:keepLines w:val="0"/>
              <w:pageBreakBefore w:val="0"/>
              <w:widowControl w:val="0"/>
              <w:kinsoku/>
              <w:wordWrap/>
              <w:overflowPunct/>
              <w:topLinePunct w:val="0"/>
              <w:autoSpaceDE/>
              <w:autoSpaceDN/>
              <w:bidi w:val="0"/>
              <w:adjustRightInd w:val="0"/>
              <w:snapToGrid w:val="0"/>
              <w:spacing w:line="220" w:lineRule="exact"/>
              <w:ind w:firstLine="210" w:firstLineChars="1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（4）一次发生急性职业中毒9人以下，未出现死亡病例。</w:t>
            </w:r>
          </w:p>
          <w:p>
            <w:pPr>
              <w:keepNext w:val="0"/>
              <w:keepLines w:val="0"/>
              <w:pageBreakBefore w:val="0"/>
              <w:widowControl w:val="0"/>
              <w:kinsoku/>
              <w:wordWrap/>
              <w:overflowPunct/>
              <w:topLinePunct w:val="0"/>
              <w:autoSpaceDE/>
              <w:autoSpaceDN/>
              <w:bidi w:val="0"/>
              <w:adjustRightInd w:val="0"/>
              <w:snapToGrid w:val="0"/>
              <w:spacing w:line="220" w:lineRule="exact"/>
              <w:ind w:firstLine="210" w:firstLineChars="1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（5）县级以上人民政府卫健部门认定的其他一般突发公共卫生事件。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jc w:val="center"/>
        </w:trPr>
        <w:tc>
          <w:tcPr>
            <w:tcW w:w="13898" w:type="dxa"/>
            <w:gridSpan w:val="5"/>
            <w:vAlign w:val="top"/>
          </w:tcPr>
          <w:p>
            <w:pPr>
              <w:adjustRightInd w:val="0"/>
              <w:snapToGrid w:val="0"/>
              <w:spacing w:line="240" w:lineRule="exact"/>
              <w:ind w:firstLine="211" w:firstLineChars="100"/>
              <w:rPr>
                <w:rFonts w:hint="eastAsia" w:ascii="宋体" w:hAnsi="宋体" w:eastAsia="宋体" w:cs="宋体"/>
                <w:color w:val="auto"/>
                <w:sz w:val="21"/>
                <w:szCs w:val="21"/>
              </w:rPr>
            </w:pPr>
            <w:r>
              <w:rPr>
                <w:rFonts w:hint="eastAsia" w:ascii="宋体" w:hAnsi="宋体" w:eastAsia="宋体" w:cs="宋体"/>
                <w:b/>
                <w:bCs/>
                <w:color w:val="auto"/>
                <w:kern w:val="0"/>
                <w:sz w:val="21"/>
                <w:szCs w:val="21"/>
                <w:lang w:bidi="ar"/>
              </w:rPr>
              <w:t>说明</w:t>
            </w:r>
            <w:r>
              <w:rPr>
                <w:rFonts w:hint="eastAsia" w:ascii="宋体" w:hAnsi="宋体" w:eastAsia="宋体" w:cs="宋体"/>
                <w:color w:val="auto"/>
                <w:kern w:val="0"/>
                <w:sz w:val="21"/>
                <w:szCs w:val="21"/>
                <w:lang w:bidi="ar"/>
              </w:rPr>
              <w:t>：“以上”包括本数，“以下”不包括本数。</w:t>
            </w:r>
          </w:p>
        </w:tc>
      </w:tr>
    </w:tbl>
    <w:p>
      <w:pPr>
        <w:adjustRightInd w:val="0"/>
        <w:snapToGrid w:val="0"/>
        <w:spacing w:line="20" w:lineRule="exact"/>
        <w:rPr>
          <w:color w:val="auto"/>
        </w:rPr>
        <w:sectPr>
          <w:headerReference r:id="rId7" w:type="first"/>
          <w:headerReference r:id="rId6" w:type="default"/>
          <w:footerReference r:id="rId8" w:type="default"/>
          <w:pgSz w:w="16838" w:h="11906" w:orient="landscape"/>
          <w:pgMar w:top="1587" w:right="1531" w:bottom="1440" w:left="1531" w:header="850" w:footer="1417" w:gutter="0"/>
          <w:pgBorders>
            <w:top w:val="none" w:sz="0" w:space="0"/>
            <w:left w:val="none" w:sz="0" w:space="0"/>
            <w:bottom w:val="none" w:sz="0" w:space="0"/>
            <w:right w:val="none" w:sz="0" w:space="0"/>
          </w:pgBorders>
          <w:pgNumType w:fmt="decimal"/>
          <w:cols w:space="0" w:num="1"/>
          <w:rtlGutter w:val="0"/>
          <w:docGrid w:type="lines" w:linePitch="327" w:charSpace="0"/>
        </w:sectPr>
      </w:pP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eastAsia" w:ascii="黑体" w:hAnsi="黑体" w:eastAsia="黑体" w:cs="黑体"/>
          <w:color w:val="auto"/>
          <w:sz w:val="32"/>
          <w:szCs w:val="32"/>
          <w:lang w:val="en" w:eastAsia="zh-CN"/>
        </w:rPr>
      </w:pPr>
      <w:r>
        <w:rPr>
          <w:rFonts w:hint="eastAsia" w:ascii="黑体" w:hAnsi="黑体" w:eastAsia="黑体" w:cs="黑体"/>
          <w:color w:val="auto"/>
          <w:sz w:val="32"/>
          <w:szCs w:val="32"/>
        </w:rPr>
        <w:t>附件</w:t>
      </w:r>
      <w:r>
        <w:rPr>
          <w:rFonts w:hint="eastAsia" w:ascii="黑体" w:hAnsi="黑体" w:eastAsia="黑体" w:cs="黑体"/>
          <w:color w:val="auto"/>
          <w:sz w:val="32"/>
          <w:szCs w:val="32"/>
          <w:lang w:val="en-US" w:eastAsia="zh-CN"/>
        </w:rPr>
        <w:t>5</w:t>
      </w:r>
    </w:p>
    <w:p>
      <w:pPr>
        <w:keepNext w:val="0"/>
        <w:keepLines w:val="0"/>
        <w:pageBreakBefore w:val="0"/>
        <w:widowControl w:val="0"/>
        <w:kinsoku/>
        <w:wordWrap/>
        <w:overflowPunct/>
        <w:topLinePunct w:val="0"/>
        <w:autoSpaceDE/>
        <w:autoSpaceDN/>
        <w:bidi w:val="0"/>
        <w:adjustRightInd w:val="0"/>
        <w:snapToGrid w:val="0"/>
        <w:spacing w:after="132" w:afterLines="40" w:line="650" w:lineRule="exact"/>
        <w:jc w:val="center"/>
        <w:textAlignment w:val="auto"/>
        <w:rPr>
          <w:rFonts w:hint="eastAsia" w:ascii="方正小标宋简体" w:hAnsi="方正小标宋简体" w:eastAsia="方正小标宋简体" w:cs="方正小标宋简体"/>
          <w:color w:val="auto"/>
          <w:sz w:val="44"/>
          <w:szCs w:val="44"/>
          <w:lang w:eastAsia="zh-CN"/>
        </w:rPr>
      </w:pPr>
      <w:r>
        <w:rPr>
          <w:rFonts w:hint="eastAsia" w:ascii="方正小标宋简体" w:hAnsi="方正小标宋简体" w:eastAsia="方正小标宋简体" w:cs="方正小标宋简体"/>
          <w:color w:val="auto"/>
          <w:sz w:val="44"/>
          <w:szCs w:val="44"/>
          <w:lang w:val="en-US" w:eastAsia="zh-CN"/>
        </w:rPr>
        <w:t>县级</w:t>
      </w:r>
      <w:r>
        <w:rPr>
          <w:rFonts w:hint="eastAsia" w:ascii="方正小标宋简体" w:hAnsi="方正小标宋简体" w:eastAsia="方正小标宋简体" w:cs="方正小标宋简体"/>
          <w:color w:val="auto"/>
          <w:sz w:val="44"/>
          <w:szCs w:val="44"/>
          <w:lang w:eastAsia="zh-CN"/>
        </w:rPr>
        <w:t>突发公共卫生事件</w:t>
      </w:r>
      <w:r>
        <w:rPr>
          <w:rFonts w:hint="eastAsia" w:ascii="方正小标宋简体" w:hAnsi="方正小标宋简体" w:eastAsia="方正小标宋简体" w:cs="方正小标宋简体"/>
          <w:color w:val="auto"/>
          <w:sz w:val="44"/>
          <w:szCs w:val="44"/>
          <w:lang w:val="en-US" w:eastAsia="zh-CN"/>
        </w:rPr>
        <w:t>分级响应指标</w:t>
      </w:r>
    </w:p>
    <w:tbl>
      <w:tblPr>
        <w:tblStyle w:val="7"/>
        <w:tblW w:w="131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4"/>
        <w:gridCol w:w="5081"/>
        <w:gridCol w:w="3774"/>
        <w:gridCol w:w="35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784" w:type="dxa"/>
            <w:vAlign w:val="center"/>
          </w:tcPr>
          <w:p>
            <w:pPr>
              <w:adjustRightInd w:val="0"/>
              <w:snapToGrid w:val="0"/>
              <w:spacing w:line="240" w:lineRule="exact"/>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响应级别</w:t>
            </w:r>
          </w:p>
        </w:tc>
        <w:tc>
          <w:tcPr>
            <w:tcW w:w="5081" w:type="dxa"/>
            <w:vAlign w:val="center"/>
          </w:tcPr>
          <w:p>
            <w:pPr>
              <w:adjustRightInd w:val="0"/>
              <w:snapToGrid w:val="0"/>
              <w:spacing w:line="240" w:lineRule="exact"/>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一级</w:t>
            </w:r>
          </w:p>
        </w:tc>
        <w:tc>
          <w:tcPr>
            <w:tcW w:w="3774" w:type="dxa"/>
            <w:vAlign w:val="center"/>
          </w:tcPr>
          <w:p>
            <w:pPr>
              <w:adjustRightInd w:val="0"/>
              <w:snapToGrid w:val="0"/>
              <w:spacing w:line="240" w:lineRule="exact"/>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二级</w:t>
            </w:r>
          </w:p>
        </w:tc>
        <w:tc>
          <w:tcPr>
            <w:tcW w:w="3519" w:type="dxa"/>
            <w:vAlign w:val="center"/>
          </w:tcPr>
          <w:p>
            <w:pPr>
              <w:adjustRightInd w:val="0"/>
              <w:snapToGrid w:val="0"/>
              <w:spacing w:line="240" w:lineRule="exact"/>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8" w:hRule="atLeast"/>
          <w:jc w:val="center"/>
        </w:trPr>
        <w:tc>
          <w:tcPr>
            <w:tcW w:w="784" w:type="dxa"/>
            <w:vAlign w:val="center"/>
          </w:tcPr>
          <w:p>
            <w:pPr>
              <w:keepNext w:val="0"/>
              <w:keepLines w:val="0"/>
              <w:pageBreakBefore w:val="0"/>
              <w:widowControl w:val="0"/>
              <w:kinsoku/>
              <w:wordWrap/>
              <w:overflowPunct/>
              <w:topLinePunct w:val="0"/>
              <w:autoSpaceDE/>
              <w:autoSpaceDN/>
              <w:bidi w:val="0"/>
              <w:adjustRightInd w:val="0"/>
              <w:snapToGrid w:val="0"/>
              <w:spacing w:line="260" w:lineRule="exact"/>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分级响应指标</w:t>
            </w:r>
          </w:p>
        </w:tc>
        <w:tc>
          <w:tcPr>
            <w:tcW w:w="5081" w:type="dxa"/>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有下列情形之一的</w:t>
            </w:r>
            <w:r>
              <w:rPr>
                <w:rFonts w:hint="eastAsia" w:ascii="宋体" w:hAnsi="宋体" w:eastAsia="宋体" w:cs="宋体"/>
                <w:color w:val="auto"/>
                <w:sz w:val="24"/>
                <w:szCs w:val="24"/>
                <w:lang w:val="en-US" w:eastAsia="zh-CN"/>
              </w:rPr>
              <w:t>启动一级响应</w:t>
            </w:r>
            <w:r>
              <w:rPr>
                <w:rFonts w:hint="eastAsia" w:ascii="宋体" w:hAnsi="宋体" w:eastAsia="宋体" w:cs="宋体"/>
                <w:color w:val="auto"/>
                <w:sz w:val="24"/>
                <w:szCs w:val="24"/>
              </w:rPr>
              <w:t>：</w:t>
            </w:r>
          </w:p>
          <w:p>
            <w:pPr>
              <w:keepNext w:val="0"/>
              <w:keepLines w:val="0"/>
              <w:pageBreakBefore w:val="0"/>
              <w:widowControl w:val="0"/>
              <w:kinsoku/>
              <w:wordWrap/>
              <w:overflowPunct/>
              <w:topLinePunct w:val="0"/>
              <w:autoSpaceDE/>
              <w:autoSpaceDN/>
              <w:bidi w:val="0"/>
              <w:adjustRightInd w:val="0"/>
              <w:snapToGrid w:val="0"/>
              <w:spacing w:line="260" w:lineRule="exact"/>
              <w:ind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（1）发生肺鼠疫、肺炭疽病例，一个平均潜伏期（6天）内病例，流行范围在</w:t>
            </w:r>
            <w:r>
              <w:rPr>
                <w:rFonts w:hint="eastAsia" w:ascii="宋体" w:hAnsi="宋体" w:eastAsia="宋体" w:cs="宋体"/>
                <w:color w:val="auto"/>
                <w:sz w:val="24"/>
                <w:szCs w:val="24"/>
                <w:lang w:val="en-US" w:eastAsia="zh-CN"/>
              </w:rPr>
              <w:t>本县</w:t>
            </w:r>
            <w:r>
              <w:rPr>
                <w:rFonts w:hint="eastAsia" w:ascii="宋体" w:hAnsi="宋体" w:eastAsia="宋体" w:cs="宋体"/>
                <w:color w:val="auto"/>
                <w:sz w:val="24"/>
                <w:szCs w:val="24"/>
              </w:rPr>
              <w:t>行政区域</w:t>
            </w:r>
            <w:r>
              <w:rPr>
                <w:rFonts w:hint="eastAsia" w:ascii="宋体" w:hAnsi="宋体" w:eastAsia="宋体" w:cs="宋体"/>
                <w:color w:val="auto"/>
                <w:sz w:val="24"/>
                <w:szCs w:val="24"/>
                <w:lang w:val="en-US" w:eastAsia="zh-CN"/>
              </w:rPr>
              <w:t>或可能外溢</w:t>
            </w:r>
            <w:r>
              <w:rPr>
                <w:rFonts w:hint="eastAsia" w:ascii="宋体" w:hAnsi="宋体" w:eastAsia="宋体" w:cs="宋体"/>
                <w:color w:val="auto"/>
                <w:sz w:val="24"/>
                <w:szCs w:val="24"/>
              </w:rPr>
              <w:t>。</w:t>
            </w:r>
          </w:p>
          <w:p>
            <w:pPr>
              <w:keepNext w:val="0"/>
              <w:keepLines w:val="0"/>
              <w:pageBreakBefore w:val="0"/>
              <w:widowControl w:val="0"/>
              <w:kinsoku/>
              <w:wordWrap/>
              <w:overflowPunct/>
              <w:topLinePunct w:val="0"/>
              <w:autoSpaceDE/>
              <w:autoSpaceDN/>
              <w:bidi w:val="0"/>
              <w:adjustRightInd w:val="0"/>
              <w:snapToGrid w:val="0"/>
              <w:spacing w:line="260" w:lineRule="exact"/>
              <w:ind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（2）腺鼠疫发生流行，在</w:t>
            </w:r>
            <w:r>
              <w:rPr>
                <w:rFonts w:hint="eastAsia" w:ascii="宋体" w:hAnsi="宋体" w:eastAsia="宋体" w:cs="宋体"/>
                <w:color w:val="auto"/>
                <w:sz w:val="24"/>
                <w:szCs w:val="24"/>
                <w:lang w:val="en-US" w:eastAsia="zh-CN"/>
              </w:rPr>
              <w:t>本县</w:t>
            </w:r>
            <w:r>
              <w:rPr>
                <w:rFonts w:hint="eastAsia" w:ascii="宋体" w:hAnsi="宋体" w:eastAsia="宋体" w:cs="宋体"/>
                <w:color w:val="auto"/>
                <w:sz w:val="24"/>
                <w:szCs w:val="24"/>
              </w:rPr>
              <w:t>行政区域内</w:t>
            </w:r>
            <w:r>
              <w:rPr>
                <w:rFonts w:hint="eastAsia" w:ascii="宋体" w:hAnsi="宋体" w:eastAsia="宋体" w:cs="宋体"/>
                <w:color w:val="auto"/>
                <w:sz w:val="24"/>
                <w:szCs w:val="24"/>
                <w:lang w:val="en-US" w:eastAsia="zh-CN"/>
              </w:rPr>
              <w:t>或可能外溢</w:t>
            </w:r>
            <w:r>
              <w:rPr>
                <w:rFonts w:hint="eastAsia" w:ascii="宋体" w:hAnsi="宋体" w:eastAsia="宋体" w:cs="宋体"/>
                <w:color w:val="auto"/>
                <w:sz w:val="24"/>
                <w:szCs w:val="24"/>
              </w:rPr>
              <w:t>，一个平均潜伏期内连续发病10例以上。</w:t>
            </w:r>
          </w:p>
          <w:p>
            <w:pPr>
              <w:keepNext w:val="0"/>
              <w:keepLines w:val="0"/>
              <w:pageBreakBefore w:val="0"/>
              <w:widowControl w:val="0"/>
              <w:kinsoku/>
              <w:wordWrap/>
              <w:overflowPunct/>
              <w:topLinePunct w:val="0"/>
              <w:autoSpaceDE/>
              <w:autoSpaceDN/>
              <w:bidi w:val="0"/>
              <w:adjustRightInd w:val="0"/>
              <w:snapToGrid w:val="0"/>
              <w:spacing w:line="260" w:lineRule="exact"/>
              <w:ind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（3）霍乱在</w:t>
            </w:r>
            <w:r>
              <w:rPr>
                <w:rFonts w:hint="eastAsia" w:ascii="宋体" w:hAnsi="宋体" w:eastAsia="宋体" w:cs="宋体"/>
                <w:color w:val="auto"/>
                <w:sz w:val="24"/>
                <w:szCs w:val="24"/>
                <w:lang w:val="en-US" w:eastAsia="zh-CN"/>
              </w:rPr>
              <w:t>本县</w:t>
            </w:r>
            <w:r>
              <w:rPr>
                <w:rFonts w:hint="eastAsia" w:ascii="宋体" w:hAnsi="宋体" w:eastAsia="宋体" w:cs="宋体"/>
                <w:color w:val="auto"/>
                <w:sz w:val="24"/>
                <w:szCs w:val="24"/>
              </w:rPr>
              <w:t>行政区域内发生，1周内发病10例</w:t>
            </w:r>
            <w:r>
              <w:rPr>
                <w:rFonts w:hint="eastAsia" w:ascii="宋体" w:hAnsi="宋体" w:eastAsia="宋体" w:cs="宋体"/>
                <w:color w:val="auto"/>
                <w:sz w:val="24"/>
                <w:szCs w:val="24"/>
                <w:lang w:val="en-US" w:eastAsia="zh-CN"/>
              </w:rPr>
              <w:t>以上</w:t>
            </w:r>
            <w:r>
              <w:rPr>
                <w:rFonts w:hint="eastAsia" w:ascii="宋体" w:hAnsi="宋体" w:eastAsia="宋体" w:cs="宋体"/>
                <w:color w:val="auto"/>
                <w:sz w:val="24"/>
                <w:szCs w:val="24"/>
              </w:rPr>
              <w:t>或波及</w:t>
            </w:r>
            <w:r>
              <w:rPr>
                <w:rFonts w:hint="eastAsia" w:ascii="宋体" w:hAnsi="宋体" w:eastAsia="宋体" w:cs="宋体"/>
                <w:color w:val="auto"/>
                <w:sz w:val="24"/>
                <w:szCs w:val="24"/>
                <w:lang w:val="en-US" w:eastAsia="zh-CN"/>
              </w:rPr>
              <w:t>外</w:t>
            </w:r>
            <w:r>
              <w:rPr>
                <w:rFonts w:hint="eastAsia" w:ascii="宋体" w:hAnsi="宋体" w:eastAsia="宋体" w:cs="宋体"/>
                <w:color w:val="auto"/>
                <w:sz w:val="24"/>
                <w:szCs w:val="24"/>
              </w:rPr>
              <w:t>县。</w:t>
            </w:r>
          </w:p>
          <w:p>
            <w:pPr>
              <w:keepNext w:val="0"/>
              <w:keepLines w:val="0"/>
              <w:pageBreakBefore w:val="0"/>
              <w:widowControl w:val="0"/>
              <w:kinsoku/>
              <w:wordWrap/>
              <w:overflowPunct/>
              <w:topLinePunct w:val="0"/>
              <w:autoSpaceDE/>
              <w:autoSpaceDN/>
              <w:bidi w:val="0"/>
              <w:adjustRightInd w:val="0"/>
              <w:snapToGrid w:val="0"/>
              <w:spacing w:line="260" w:lineRule="exact"/>
              <w:ind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（4）一周内在</w:t>
            </w:r>
            <w:r>
              <w:rPr>
                <w:rFonts w:hint="eastAsia" w:ascii="宋体" w:hAnsi="宋体" w:eastAsia="宋体" w:cs="宋体"/>
                <w:color w:val="auto"/>
                <w:sz w:val="24"/>
                <w:szCs w:val="24"/>
                <w:lang w:val="en-US" w:eastAsia="zh-CN"/>
              </w:rPr>
              <w:t>本</w:t>
            </w:r>
            <w:r>
              <w:rPr>
                <w:rFonts w:hint="eastAsia" w:ascii="宋体" w:hAnsi="宋体" w:eastAsia="宋体" w:cs="宋体"/>
                <w:color w:val="auto"/>
                <w:sz w:val="24"/>
                <w:szCs w:val="24"/>
              </w:rPr>
              <w:t>县行政区域内，乙、丙类传染病发病水平超过前5年同期平均发病水平1倍以上。</w:t>
            </w:r>
          </w:p>
          <w:p>
            <w:pPr>
              <w:keepNext w:val="0"/>
              <w:keepLines w:val="0"/>
              <w:pageBreakBefore w:val="0"/>
              <w:widowControl w:val="0"/>
              <w:kinsoku/>
              <w:wordWrap/>
              <w:overflowPunct/>
              <w:topLinePunct w:val="0"/>
              <w:autoSpaceDE/>
              <w:autoSpaceDN/>
              <w:bidi w:val="0"/>
              <w:adjustRightInd w:val="0"/>
              <w:snapToGrid w:val="0"/>
              <w:spacing w:line="260" w:lineRule="exact"/>
              <w:ind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（5）</w:t>
            </w:r>
            <w:r>
              <w:rPr>
                <w:rFonts w:hint="eastAsia" w:ascii="宋体" w:hAnsi="宋体" w:eastAsia="宋体" w:cs="宋体"/>
                <w:color w:val="auto"/>
                <w:sz w:val="24"/>
                <w:szCs w:val="24"/>
                <w:lang w:val="en-US" w:eastAsia="zh-CN"/>
              </w:rPr>
              <w:t>本县</w:t>
            </w:r>
            <w:r>
              <w:rPr>
                <w:rFonts w:hint="eastAsia" w:ascii="宋体" w:hAnsi="宋体" w:eastAsia="宋体" w:cs="宋体"/>
                <w:color w:val="auto"/>
                <w:sz w:val="24"/>
                <w:szCs w:val="24"/>
              </w:rPr>
              <w:t>行政区域内发现群体性不明原因疾病。</w:t>
            </w:r>
          </w:p>
          <w:p>
            <w:pPr>
              <w:keepNext w:val="0"/>
              <w:keepLines w:val="0"/>
              <w:pageBreakBefore w:val="0"/>
              <w:widowControl w:val="0"/>
              <w:kinsoku/>
              <w:wordWrap/>
              <w:overflowPunct/>
              <w:topLinePunct w:val="0"/>
              <w:autoSpaceDE/>
              <w:autoSpaceDN/>
              <w:bidi w:val="0"/>
              <w:adjustRightInd w:val="0"/>
              <w:snapToGrid w:val="0"/>
              <w:spacing w:line="260" w:lineRule="exact"/>
              <w:ind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（6）一次食物中毒人数超过100人</w:t>
            </w:r>
            <w:r>
              <w:rPr>
                <w:rFonts w:hint="eastAsia" w:ascii="宋体" w:hAnsi="宋体" w:eastAsia="宋体" w:cs="宋体"/>
                <w:color w:val="auto"/>
                <w:sz w:val="24"/>
                <w:szCs w:val="24"/>
                <w:lang w:val="en-US" w:eastAsia="zh-CN"/>
              </w:rPr>
              <w:t>及以上</w:t>
            </w:r>
            <w:r>
              <w:rPr>
                <w:rFonts w:hint="eastAsia" w:ascii="宋体" w:hAnsi="宋体" w:eastAsia="宋体" w:cs="宋体"/>
                <w:color w:val="auto"/>
                <w:sz w:val="24"/>
                <w:szCs w:val="24"/>
              </w:rPr>
              <w:t>，或出现死亡病例。</w:t>
            </w:r>
          </w:p>
          <w:p>
            <w:pPr>
              <w:keepNext w:val="0"/>
              <w:keepLines w:val="0"/>
              <w:pageBreakBefore w:val="0"/>
              <w:widowControl w:val="0"/>
              <w:kinsoku/>
              <w:wordWrap/>
              <w:overflowPunct/>
              <w:topLinePunct w:val="0"/>
              <w:autoSpaceDE/>
              <w:autoSpaceDN/>
              <w:bidi w:val="0"/>
              <w:adjustRightInd w:val="0"/>
              <w:snapToGrid w:val="0"/>
              <w:spacing w:line="260" w:lineRule="exact"/>
              <w:ind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（7）预防接种或群体性预防性服药出现群体心因性反应或不良反应。</w:t>
            </w:r>
          </w:p>
          <w:p>
            <w:pPr>
              <w:keepNext w:val="0"/>
              <w:keepLines w:val="0"/>
              <w:pageBreakBefore w:val="0"/>
              <w:widowControl w:val="0"/>
              <w:kinsoku/>
              <w:wordWrap/>
              <w:overflowPunct/>
              <w:topLinePunct w:val="0"/>
              <w:autoSpaceDE/>
              <w:autoSpaceDN/>
              <w:bidi w:val="0"/>
              <w:adjustRightInd w:val="0"/>
              <w:snapToGrid w:val="0"/>
              <w:spacing w:line="260" w:lineRule="exact"/>
              <w:ind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（8）一次发生急性职业中毒10～49人，或</w:t>
            </w:r>
            <w:r>
              <w:rPr>
                <w:rFonts w:hint="eastAsia" w:ascii="宋体" w:hAnsi="宋体" w:eastAsia="宋体" w:cs="宋体"/>
                <w:color w:val="auto"/>
                <w:sz w:val="24"/>
                <w:szCs w:val="24"/>
                <w:lang w:val="en-US" w:eastAsia="zh-CN"/>
              </w:rPr>
              <w:t>有</w:t>
            </w:r>
            <w:r>
              <w:rPr>
                <w:rFonts w:hint="eastAsia" w:ascii="宋体" w:hAnsi="宋体" w:eastAsia="宋体" w:cs="宋体"/>
                <w:color w:val="auto"/>
                <w:sz w:val="24"/>
                <w:szCs w:val="24"/>
              </w:rPr>
              <w:t>死亡</w:t>
            </w:r>
            <w:r>
              <w:rPr>
                <w:rFonts w:hint="eastAsia" w:ascii="宋体" w:hAnsi="宋体" w:eastAsia="宋体" w:cs="宋体"/>
                <w:color w:val="auto"/>
                <w:sz w:val="24"/>
                <w:szCs w:val="24"/>
                <w:lang w:val="en-US" w:eastAsia="zh-CN"/>
              </w:rPr>
              <w:t>后果的</w:t>
            </w:r>
            <w:r>
              <w:rPr>
                <w:rFonts w:hint="eastAsia" w:ascii="宋体" w:hAnsi="宋体" w:eastAsia="宋体" w:cs="宋体"/>
                <w:color w:val="auto"/>
                <w:sz w:val="24"/>
                <w:szCs w:val="24"/>
              </w:rPr>
              <w:t>。</w:t>
            </w:r>
          </w:p>
          <w:p>
            <w:pPr>
              <w:keepNext w:val="0"/>
              <w:keepLines w:val="0"/>
              <w:pageBreakBefore w:val="0"/>
              <w:widowControl w:val="0"/>
              <w:kinsoku/>
              <w:wordWrap/>
              <w:overflowPunct/>
              <w:topLinePunct w:val="0"/>
              <w:autoSpaceDE/>
              <w:autoSpaceDN/>
              <w:bidi w:val="0"/>
              <w:adjustRightInd w:val="0"/>
              <w:snapToGrid w:val="0"/>
              <w:spacing w:line="26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（9）市级以上人民政府卫健部门认定的其他较大突发公共卫生事件。</w:t>
            </w:r>
          </w:p>
        </w:tc>
        <w:tc>
          <w:tcPr>
            <w:tcW w:w="3774" w:type="dxa"/>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有下列情形之一的</w:t>
            </w:r>
            <w:r>
              <w:rPr>
                <w:rFonts w:hint="eastAsia" w:ascii="宋体" w:hAnsi="宋体" w:eastAsia="宋体" w:cs="宋体"/>
                <w:color w:val="auto"/>
                <w:sz w:val="24"/>
                <w:szCs w:val="24"/>
                <w:lang w:val="en-US" w:eastAsia="zh-CN"/>
              </w:rPr>
              <w:t>启动二级响应</w:t>
            </w:r>
            <w:r>
              <w:rPr>
                <w:rFonts w:hint="eastAsia" w:ascii="宋体" w:hAnsi="宋体" w:eastAsia="宋体" w:cs="宋体"/>
                <w:color w:val="auto"/>
                <w:sz w:val="24"/>
                <w:szCs w:val="24"/>
              </w:rPr>
              <w:t>：</w:t>
            </w:r>
          </w:p>
          <w:p>
            <w:pPr>
              <w:keepNext w:val="0"/>
              <w:keepLines w:val="0"/>
              <w:pageBreakBefore w:val="0"/>
              <w:widowControl w:val="0"/>
              <w:kinsoku/>
              <w:wordWrap/>
              <w:overflowPunct/>
              <w:topLinePunct w:val="0"/>
              <w:autoSpaceDE/>
              <w:autoSpaceDN/>
              <w:bidi w:val="0"/>
              <w:adjustRightInd w:val="0"/>
              <w:snapToGrid w:val="0"/>
              <w:spacing w:line="260" w:lineRule="exact"/>
              <w:ind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（1）腺鼠疫在</w:t>
            </w:r>
            <w:r>
              <w:rPr>
                <w:rFonts w:hint="eastAsia" w:ascii="宋体" w:hAnsi="宋体" w:eastAsia="宋体" w:cs="宋体"/>
                <w:color w:val="auto"/>
                <w:sz w:val="24"/>
                <w:szCs w:val="24"/>
                <w:lang w:val="en-US" w:eastAsia="zh-CN"/>
              </w:rPr>
              <w:t>本</w:t>
            </w:r>
            <w:r>
              <w:rPr>
                <w:rFonts w:hint="eastAsia" w:ascii="宋体" w:hAnsi="宋体" w:eastAsia="宋体" w:cs="宋体"/>
                <w:color w:val="auto"/>
                <w:sz w:val="24"/>
                <w:szCs w:val="24"/>
              </w:rPr>
              <w:t>县行政区域内发生，一个平均潜伏期内病例数未超过</w:t>
            </w:r>
            <w:r>
              <w:rPr>
                <w:rFonts w:hint="eastAsia" w:ascii="宋体" w:hAnsi="宋体" w:eastAsia="宋体" w:cs="宋体"/>
                <w:color w:val="auto"/>
                <w:sz w:val="24"/>
                <w:szCs w:val="24"/>
                <w:lang w:val="en-US" w:eastAsia="zh-CN"/>
              </w:rPr>
              <w:t>10</w:t>
            </w:r>
            <w:r>
              <w:rPr>
                <w:rFonts w:hint="eastAsia" w:ascii="宋体" w:hAnsi="宋体" w:eastAsia="宋体" w:cs="宋体"/>
                <w:color w:val="auto"/>
                <w:sz w:val="24"/>
                <w:szCs w:val="24"/>
              </w:rPr>
              <w:t>例。</w:t>
            </w:r>
          </w:p>
          <w:p>
            <w:pPr>
              <w:keepNext w:val="0"/>
              <w:keepLines w:val="0"/>
              <w:pageBreakBefore w:val="0"/>
              <w:widowControl w:val="0"/>
              <w:kinsoku/>
              <w:wordWrap/>
              <w:overflowPunct/>
              <w:topLinePunct w:val="0"/>
              <w:autoSpaceDE/>
              <w:autoSpaceDN/>
              <w:bidi w:val="0"/>
              <w:adjustRightInd w:val="0"/>
              <w:snapToGrid w:val="0"/>
              <w:spacing w:line="260" w:lineRule="exact"/>
              <w:ind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（2）霍乱在</w:t>
            </w:r>
            <w:r>
              <w:rPr>
                <w:rFonts w:hint="eastAsia" w:ascii="宋体" w:hAnsi="宋体" w:eastAsia="宋体" w:cs="宋体"/>
                <w:color w:val="auto"/>
                <w:sz w:val="24"/>
                <w:szCs w:val="24"/>
                <w:lang w:val="en-US" w:eastAsia="zh-CN"/>
              </w:rPr>
              <w:t>本</w:t>
            </w:r>
            <w:r>
              <w:rPr>
                <w:rFonts w:hint="eastAsia" w:ascii="宋体" w:hAnsi="宋体" w:eastAsia="宋体" w:cs="宋体"/>
                <w:color w:val="auto"/>
                <w:sz w:val="24"/>
                <w:szCs w:val="24"/>
              </w:rPr>
              <w:t>县行政区域内发生，1周内发病9例以下。</w:t>
            </w:r>
          </w:p>
          <w:p>
            <w:pPr>
              <w:keepNext w:val="0"/>
              <w:keepLines w:val="0"/>
              <w:pageBreakBefore w:val="0"/>
              <w:widowControl w:val="0"/>
              <w:kinsoku/>
              <w:wordWrap/>
              <w:overflowPunct/>
              <w:topLinePunct w:val="0"/>
              <w:autoSpaceDE/>
              <w:autoSpaceDN/>
              <w:bidi w:val="0"/>
              <w:adjustRightInd w:val="0"/>
              <w:snapToGrid w:val="0"/>
              <w:spacing w:line="260" w:lineRule="exact"/>
              <w:ind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（3）一次食物中毒人数30～99人，未出现死亡病例。</w:t>
            </w:r>
          </w:p>
          <w:p>
            <w:pPr>
              <w:keepNext w:val="0"/>
              <w:keepLines w:val="0"/>
              <w:pageBreakBefore w:val="0"/>
              <w:widowControl w:val="0"/>
              <w:kinsoku/>
              <w:wordWrap/>
              <w:overflowPunct/>
              <w:topLinePunct w:val="0"/>
              <w:autoSpaceDE/>
              <w:autoSpaceDN/>
              <w:bidi w:val="0"/>
              <w:adjustRightInd w:val="0"/>
              <w:snapToGrid w:val="0"/>
              <w:spacing w:line="260" w:lineRule="exact"/>
              <w:ind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（4）一次发生急性职业中毒9人以下，未出现死亡病例。</w:t>
            </w:r>
          </w:p>
          <w:p>
            <w:pPr>
              <w:keepNext w:val="0"/>
              <w:keepLines w:val="0"/>
              <w:pageBreakBefore w:val="0"/>
              <w:widowControl w:val="0"/>
              <w:kinsoku/>
              <w:wordWrap/>
              <w:overflowPunct/>
              <w:topLinePunct w:val="0"/>
              <w:autoSpaceDE/>
              <w:autoSpaceDN/>
              <w:bidi w:val="0"/>
              <w:adjustRightInd w:val="0"/>
              <w:snapToGrid w:val="0"/>
              <w:spacing w:line="26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（5）县卫</w:t>
            </w:r>
            <w:r>
              <w:rPr>
                <w:rFonts w:hint="eastAsia" w:ascii="宋体" w:hAnsi="宋体" w:eastAsia="宋体" w:cs="宋体"/>
                <w:color w:val="auto"/>
                <w:sz w:val="24"/>
                <w:szCs w:val="24"/>
                <w:lang w:val="en-US" w:eastAsia="zh-CN"/>
              </w:rPr>
              <w:t>体局</w:t>
            </w:r>
            <w:r>
              <w:rPr>
                <w:rFonts w:hint="eastAsia" w:ascii="宋体" w:hAnsi="宋体" w:eastAsia="宋体" w:cs="宋体"/>
                <w:color w:val="auto"/>
                <w:sz w:val="24"/>
                <w:szCs w:val="24"/>
              </w:rPr>
              <w:t>认定的其他一般突发公共卫生事件。</w:t>
            </w:r>
          </w:p>
        </w:tc>
        <w:tc>
          <w:tcPr>
            <w:tcW w:w="3519" w:type="dxa"/>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有下列情形之一的</w:t>
            </w:r>
            <w:r>
              <w:rPr>
                <w:rFonts w:hint="eastAsia" w:ascii="宋体" w:hAnsi="宋体" w:eastAsia="宋体" w:cs="宋体"/>
                <w:color w:val="auto"/>
                <w:sz w:val="24"/>
                <w:szCs w:val="24"/>
                <w:lang w:val="en-US" w:eastAsia="zh-CN"/>
              </w:rPr>
              <w:t>启动二级响应</w:t>
            </w:r>
            <w:r>
              <w:rPr>
                <w:rFonts w:hint="eastAsia" w:ascii="宋体" w:hAnsi="宋体" w:eastAsia="宋体" w:cs="宋体"/>
                <w:color w:val="auto"/>
                <w:sz w:val="24"/>
                <w:szCs w:val="24"/>
              </w:rPr>
              <w:t>：</w:t>
            </w:r>
          </w:p>
          <w:p>
            <w:pPr>
              <w:keepNext w:val="0"/>
              <w:keepLines w:val="0"/>
              <w:pageBreakBefore w:val="0"/>
              <w:widowControl w:val="0"/>
              <w:kinsoku/>
              <w:wordWrap/>
              <w:overflowPunct/>
              <w:topLinePunct w:val="0"/>
              <w:autoSpaceDE/>
              <w:autoSpaceDN/>
              <w:bidi w:val="0"/>
              <w:adjustRightInd w:val="0"/>
              <w:snapToGrid w:val="0"/>
              <w:spacing w:line="260" w:lineRule="exact"/>
              <w:ind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（1）一次食物中毒人数30人</w:t>
            </w:r>
            <w:r>
              <w:rPr>
                <w:rFonts w:hint="eastAsia" w:ascii="宋体" w:hAnsi="宋体" w:eastAsia="宋体" w:cs="宋体"/>
                <w:color w:val="auto"/>
                <w:sz w:val="24"/>
                <w:szCs w:val="24"/>
                <w:lang w:val="en-US" w:eastAsia="zh-CN"/>
              </w:rPr>
              <w:t>以下</w:t>
            </w:r>
            <w:r>
              <w:rPr>
                <w:rFonts w:hint="eastAsia" w:ascii="宋体" w:hAnsi="宋体" w:eastAsia="宋体" w:cs="宋体"/>
                <w:color w:val="auto"/>
                <w:sz w:val="24"/>
                <w:szCs w:val="24"/>
              </w:rPr>
              <w:t>，未出现死亡病例。</w:t>
            </w:r>
          </w:p>
          <w:p>
            <w:pPr>
              <w:keepNext w:val="0"/>
              <w:keepLines w:val="0"/>
              <w:pageBreakBefore w:val="0"/>
              <w:widowControl w:val="0"/>
              <w:kinsoku/>
              <w:wordWrap/>
              <w:overflowPunct/>
              <w:topLinePunct w:val="0"/>
              <w:autoSpaceDE/>
              <w:autoSpaceDN/>
              <w:bidi w:val="0"/>
              <w:adjustRightInd w:val="0"/>
              <w:snapToGrid w:val="0"/>
              <w:spacing w:line="260" w:lineRule="exact"/>
              <w:ind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）发生</w:t>
            </w:r>
            <w:r>
              <w:rPr>
                <w:rFonts w:hint="eastAsia" w:ascii="宋体" w:hAnsi="宋体" w:eastAsia="宋体" w:cs="宋体"/>
                <w:color w:val="auto"/>
                <w:sz w:val="24"/>
                <w:szCs w:val="24"/>
                <w:lang w:val="en-US" w:eastAsia="zh-CN"/>
              </w:rPr>
              <w:t>疑似</w:t>
            </w:r>
            <w:r>
              <w:rPr>
                <w:rFonts w:hint="eastAsia" w:ascii="宋体" w:hAnsi="宋体" w:eastAsia="宋体" w:cs="宋体"/>
                <w:color w:val="auto"/>
                <w:sz w:val="24"/>
                <w:szCs w:val="24"/>
              </w:rPr>
              <w:t>急性职业中毒</w:t>
            </w:r>
            <w:r>
              <w:rPr>
                <w:rFonts w:hint="eastAsia" w:ascii="宋体" w:hAnsi="宋体" w:eastAsia="宋体" w:cs="宋体"/>
                <w:color w:val="auto"/>
                <w:sz w:val="24"/>
                <w:szCs w:val="24"/>
                <w:lang w:val="en-US" w:eastAsia="zh-CN"/>
              </w:rPr>
              <w:t>事件</w:t>
            </w:r>
            <w:r>
              <w:rPr>
                <w:rFonts w:hint="eastAsia" w:ascii="宋体" w:hAnsi="宋体" w:eastAsia="宋体" w:cs="宋体"/>
                <w:color w:val="auto"/>
                <w:sz w:val="24"/>
                <w:szCs w:val="24"/>
              </w:rPr>
              <w:t>。</w:t>
            </w:r>
          </w:p>
          <w:p>
            <w:pPr>
              <w:keepNext w:val="0"/>
              <w:keepLines w:val="0"/>
              <w:pageBreakBefore w:val="0"/>
              <w:widowControl w:val="0"/>
              <w:kinsoku/>
              <w:wordWrap/>
              <w:overflowPunct/>
              <w:topLinePunct w:val="0"/>
              <w:autoSpaceDE/>
              <w:autoSpaceDN/>
              <w:bidi w:val="0"/>
              <w:adjustRightInd w:val="0"/>
              <w:snapToGrid w:val="0"/>
              <w:spacing w:line="26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）县卫</w:t>
            </w:r>
            <w:r>
              <w:rPr>
                <w:rFonts w:hint="eastAsia" w:ascii="宋体" w:hAnsi="宋体" w:eastAsia="宋体" w:cs="宋体"/>
                <w:color w:val="auto"/>
                <w:sz w:val="24"/>
                <w:szCs w:val="24"/>
                <w:lang w:val="en-US" w:eastAsia="zh-CN"/>
              </w:rPr>
              <w:t>体局</w:t>
            </w:r>
            <w:r>
              <w:rPr>
                <w:rFonts w:hint="eastAsia" w:ascii="宋体" w:hAnsi="宋体" w:eastAsia="宋体" w:cs="宋体"/>
                <w:color w:val="auto"/>
                <w:sz w:val="24"/>
                <w:szCs w:val="24"/>
              </w:rPr>
              <w:t>认</w:t>
            </w:r>
            <w:r>
              <w:rPr>
                <w:rFonts w:hint="eastAsia" w:ascii="宋体" w:hAnsi="宋体" w:eastAsia="宋体" w:cs="宋体"/>
                <w:color w:val="auto"/>
                <w:sz w:val="24"/>
                <w:szCs w:val="24"/>
                <w:lang w:val="en-US" w:eastAsia="zh-CN"/>
              </w:rPr>
              <w:t>为应当启动三级响应的</w:t>
            </w:r>
            <w:r>
              <w:rPr>
                <w:rFonts w:hint="eastAsia" w:ascii="宋体" w:hAnsi="宋体" w:eastAsia="宋体" w:cs="宋体"/>
                <w:color w:val="auto"/>
                <w:sz w:val="24"/>
                <w:szCs w:val="24"/>
              </w:rPr>
              <w:t>突发公共卫生事件。</w:t>
            </w:r>
          </w:p>
        </w:tc>
      </w:tr>
    </w:tbl>
    <w:p>
      <w:pPr>
        <w:keepNext w:val="0"/>
        <w:keepLines w:val="0"/>
        <w:pageBreakBefore w:val="0"/>
        <w:widowControl w:val="0"/>
        <w:kinsoku/>
        <w:wordWrap/>
        <w:overflowPunct/>
        <w:topLinePunct w:val="0"/>
        <w:autoSpaceDE/>
        <w:autoSpaceDN/>
        <w:bidi w:val="0"/>
        <w:adjustRightInd/>
        <w:snapToGrid/>
        <w:spacing w:before="165" w:beforeLines="50"/>
        <w:ind w:firstLine="482" w:firstLineChars="200"/>
        <w:textAlignment w:val="auto"/>
        <w:rPr>
          <w:rFonts w:hint="eastAsia" w:ascii="宋体" w:hAnsi="宋体" w:cs="宋体"/>
          <w:color w:val="auto"/>
          <w:kern w:val="0"/>
          <w:sz w:val="24"/>
          <w:lang w:bidi="ar"/>
        </w:rPr>
      </w:pPr>
      <w:r>
        <w:rPr>
          <w:rFonts w:hint="eastAsia" w:ascii="宋体" w:hAnsi="宋体" w:cs="宋体"/>
          <w:b/>
          <w:bCs/>
          <w:color w:val="auto"/>
          <w:kern w:val="0"/>
          <w:sz w:val="24"/>
          <w:lang w:bidi="ar"/>
        </w:rPr>
        <w:t>说明</w:t>
      </w:r>
      <w:r>
        <w:rPr>
          <w:rFonts w:hint="eastAsia" w:ascii="宋体" w:hAnsi="宋体" w:cs="宋体"/>
          <w:color w:val="auto"/>
          <w:kern w:val="0"/>
          <w:sz w:val="24"/>
          <w:lang w:bidi="ar"/>
        </w:rPr>
        <w:t>：“以上”包括本数，“以下”不包括本数。</w:t>
      </w:r>
    </w:p>
    <w:p>
      <w:pPr>
        <w:rPr>
          <w:rFonts w:hint="eastAsia" w:ascii="宋体" w:hAnsi="宋体" w:cs="宋体"/>
          <w:color w:val="auto"/>
          <w:kern w:val="0"/>
          <w:sz w:val="24"/>
          <w:lang w:bidi="ar"/>
        </w:rPr>
      </w:pPr>
      <w:r>
        <w:rPr>
          <w:rFonts w:hint="eastAsia" w:ascii="宋体" w:hAnsi="宋体" w:cs="宋体"/>
          <w:color w:val="auto"/>
          <w:kern w:val="0"/>
          <w:sz w:val="24"/>
          <w:lang w:bidi="ar"/>
        </w:rPr>
        <w:br w:type="page"/>
      </w:r>
    </w:p>
    <w:p>
      <w:pPr>
        <w:keepNext w:val="0"/>
        <w:keepLines w:val="0"/>
        <w:pageBreakBefore w:val="0"/>
        <w:widowControl w:val="0"/>
        <w:kinsoku/>
        <w:wordWrap/>
        <w:overflowPunct/>
        <w:topLinePunct w:val="0"/>
        <w:autoSpaceDE/>
        <w:autoSpaceDN/>
        <w:bidi w:val="0"/>
        <w:adjustRightInd/>
        <w:snapToGrid/>
        <w:spacing w:before="165" w:beforeLines="50"/>
        <w:textAlignment w:val="auto"/>
        <w:rPr>
          <w:rFonts w:hint="eastAsia" w:ascii="黑体" w:hAnsi="黑体" w:eastAsia="黑体" w:cs="黑体"/>
          <w:color w:val="auto"/>
          <w:sz w:val="32"/>
          <w:szCs w:val="32"/>
        </w:rPr>
        <w:sectPr>
          <w:pgSz w:w="16838" w:h="11906" w:orient="landscape"/>
          <w:pgMar w:top="1587" w:right="1531" w:bottom="1440" w:left="1531" w:header="851" w:footer="1417" w:gutter="0"/>
          <w:pgNumType w:fmt="decimal"/>
          <w:cols w:space="0" w:num="1"/>
          <w:rtlGutter w:val="0"/>
          <w:docGrid w:type="lines" w:linePitch="317" w:charSpace="0"/>
        </w:sectPr>
      </w:pPr>
    </w:p>
    <w:p>
      <w:pPr>
        <w:keepNext w:val="0"/>
        <w:keepLines w:val="0"/>
        <w:pageBreakBefore w:val="0"/>
        <w:widowControl w:val="0"/>
        <w:kinsoku/>
        <w:wordWrap/>
        <w:overflowPunct/>
        <w:topLinePunct w:val="0"/>
        <w:autoSpaceDE/>
        <w:autoSpaceDN/>
        <w:bidi w:val="0"/>
        <w:adjustRightInd/>
        <w:snapToGrid/>
        <w:spacing w:before="165" w:beforeLines="50"/>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rPr>
        <w:t>附件</w:t>
      </w:r>
      <w:r>
        <w:rPr>
          <w:rFonts w:hint="eastAsia" w:ascii="黑体" w:hAnsi="黑体" w:eastAsia="黑体" w:cs="黑体"/>
          <w:color w:val="auto"/>
          <w:sz w:val="32"/>
          <w:szCs w:val="32"/>
          <w:lang w:val="en-US" w:eastAsia="zh-CN"/>
        </w:rPr>
        <w:t xml:space="preserve">6 </w:t>
      </w:r>
    </w:p>
    <w:p>
      <w:pPr>
        <w:keepNext w:val="0"/>
        <w:keepLines w:val="0"/>
        <w:pageBreakBefore w:val="0"/>
        <w:widowControl w:val="0"/>
        <w:kinsoku/>
        <w:wordWrap/>
        <w:overflowPunct/>
        <w:topLinePunct w:val="0"/>
        <w:autoSpaceDE/>
        <w:autoSpaceDN/>
        <w:bidi w:val="0"/>
        <w:adjustRightInd w:val="0"/>
        <w:snapToGrid w:val="0"/>
        <w:spacing w:after="132" w:afterLines="40" w:line="650" w:lineRule="exact"/>
        <w:jc w:val="center"/>
        <w:textAlignment w:val="auto"/>
        <w:rPr>
          <w:rFonts w:hint="default"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名 词 解 释</w:t>
      </w:r>
    </w:p>
    <w:p>
      <w:pPr>
        <w:pStyle w:val="6"/>
        <w:keepNext w:val="0"/>
        <w:keepLines w:val="0"/>
        <w:pageBreakBefore w:val="0"/>
        <w:widowControl w:val="0"/>
        <w:kinsoku/>
        <w:wordWrap/>
        <w:overflowPunct/>
        <w:topLinePunct w:val="0"/>
        <w:autoSpaceDE/>
        <w:autoSpaceDN/>
        <w:bidi w:val="0"/>
        <w:adjustRightInd/>
        <w:snapToGrid/>
        <w:spacing w:beforeAutospacing="0" w:after="0" w:afterAutospacing="0" w:line="360" w:lineRule="auto"/>
        <w:ind w:left="0" w:leftChars="0" w:firstLine="640" w:firstLineChars="200"/>
        <w:jc w:val="left"/>
        <w:textAlignment w:val="auto"/>
        <w:rPr>
          <w:rFonts w:hint="eastAsia" w:ascii="仿宋_GB2312" w:hAnsi="仿宋_GB2312" w:eastAsia="仿宋_GB2312" w:cs="仿宋_GB2312"/>
          <w:color w:val="auto"/>
          <w:kern w:val="0"/>
          <w:sz w:val="32"/>
          <w:szCs w:val="32"/>
          <w:lang w:val="en-US" w:eastAsia="zh-CN" w:bidi="ar-SA"/>
        </w:rPr>
      </w:pPr>
    </w:p>
    <w:p>
      <w:pPr>
        <w:pStyle w:val="6"/>
        <w:keepNext w:val="0"/>
        <w:keepLines w:val="0"/>
        <w:pageBreakBefore w:val="0"/>
        <w:widowControl w:val="0"/>
        <w:kinsoku/>
        <w:wordWrap/>
        <w:overflowPunct/>
        <w:topLinePunct w:val="0"/>
        <w:autoSpaceDE/>
        <w:autoSpaceDN/>
        <w:bidi w:val="0"/>
        <w:adjustRightInd/>
        <w:snapToGrid/>
        <w:spacing w:beforeAutospacing="0" w:after="0" w:afterAutospacing="0" w:line="606" w:lineRule="exact"/>
        <w:ind w:left="0" w:leftChars="0" w:firstLine="640" w:firstLineChars="200"/>
        <w:jc w:val="both"/>
        <w:textAlignment w:val="auto"/>
        <w:rPr>
          <w:rFonts w:hint="eastAsia" w:ascii="黑体" w:hAnsi="黑体" w:eastAsia="黑体" w:cs="黑体"/>
          <w:color w:val="auto"/>
          <w:kern w:val="0"/>
          <w:sz w:val="32"/>
          <w:szCs w:val="32"/>
          <w:lang w:val="en-US" w:eastAsia="zh-CN" w:bidi="ar-SA"/>
        </w:rPr>
      </w:pPr>
      <w:r>
        <w:rPr>
          <w:rFonts w:hint="eastAsia" w:ascii="黑体" w:hAnsi="黑体" w:eastAsia="黑体" w:cs="黑体"/>
          <w:color w:val="auto"/>
          <w:kern w:val="0"/>
          <w:sz w:val="32"/>
          <w:szCs w:val="32"/>
          <w:lang w:val="en-US" w:eastAsia="zh-CN" w:bidi="ar-SA"/>
        </w:rPr>
        <w:t>（1）突发公共卫生事件</w:t>
      </w:r>
    </w:p>
    <w:p>
      <w:pPr>
        <w:pStyle w:val="6"/>
        <w:keepNext w:val="0"/>
        <w:keepLines w:val="0"/>
        <w:pageBreakBefore w:val="0"/>
        <w:widowControl w:val="0"/>
        <w:kinsoku/>
        <w:wordWrap/>
        <w:overflowPunct/>
        <w:topLinePunct w:val="0"/>
        <w:autoSpaceDE/>
        <w:autoSpaceDN/>
        <w:bidi w:val="0"/>
        <w:adjustRightInd/>
        <w:snapToGrid/>
        <w:spacing w:beforeAutospacing="0" w:after="0" w:afterAutospacing="0" w:line="606" w:lineRule="exact"/>
        <w:ind w:left="0" w:leftChars="0" w:firstLine="640" w:firstLineChars="200"/>
        <w:jc w:val="both"/>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根据《突发公共卫生事件应急条例》第2条：突发公共卫生事件是指突然发生，造成或者可能造成社会公众健康严重损害的重大传染病疫情、群体性不明原因疾病、重大食物和职业中毒以及其他严重影响公众健康的事件。</w:t>
      </w:r>
    </w:p>
    <w:p>
      <w:pPr>
        <w:pStyle w:val="6"/>
        <w:keepNext w:val="0"/>
        <w:keepLines w:val="0"/>
        <w:pageBreakBefore w:val="0"/>
        <w:widowControl w:val="0"/>
        <w:kinsoku/>
        <w:wordWrap/>
        <w:overflowPunct/>
        <w:topLinePunct w:val="0"/>
        <w:autoSpaceDE/>
        <w:autoSpaceDN/>
        <w:bidi w:val="0"/>
        <w:adjustRightInd/>
        <w:snapToGrid/>
        <w:spacing w:beforeAutospacing="0" w:after="0" w:afterAutospacing="0" w:line="606" w:lineRule="exact"/>
        <w:ind w:left="0" w:leftChars="0" w:firstLine="640" w:firstLineChars="200"/>
        <w:jc w:val="both"/>
        <w:textAlignment w:val="auto"/>
        <w:rPr>
          <w:rFonts w:hint="eastAsia" w:ascii="黑体" w:hAnsi="黑体" w:eastAsia="黑体" w:cs="黑体"/>
          <w:color w:val="auto"/>
          <w:kern w:val="0"/>
          <w:sz w:val="32"/>
          <w:szCs w:val="32"/>
          <w:lang w:val="en-US" w:eastAsia="zh-CN" w:bidi="ar-SA"/>
        </w:rPr>
      </w:pPr>
      <w:r>
        <w:rPr>
          <w:rFonts w:hint="eastAsia" w:ascii="黑体" w:hAnsi="黑体" w:eastAsia="黑体" w:cs="黑体"/>
          <w:color w:val="auto"/>
          <w:kern w:val="0"/>
          <w:sz w:val="32"/>
          <w:szCs w:val="32"/>
          <w:lang w:val="en-US" w:eastAsia="zh-CN" w:bidi="ar-SA"/>
        </w:rPr>
        <w:t>（2）传染病分类</w:t>
      </w:r>
    </w:p>
    <w:p>
      <w:pPr>
        <w:pStyle w:val="6"/>
        <w:keepNext w:val="0"/>
        <w:keepLines w:val="0"/>
        <w:pageBreakBefore w:val="0"/>
        <w:widowControl w:val="0"/>
        <w:kinsoku/>
        <w:wordWrap/>
        <w:overflowPunct/>
        <w:topLinePunct w:val="0"/>
        <w:autoSpaceDE/>
        <w:autoSpaceDN/>
        <w:bidi w:val="0"/>
        <w:adjustRightInd/>
        <w:snapToGrid/>
        <w:spacing w:beforeAutospacing="0" w:after="0" w:afterAutospacing="0" w:line="606" w:lineRule="exact"/>
        <w:ind w:left="0" w:leftChars="0" w:firstLine="640" w:firstLineChars="200"/>
        <w:jc w:val="both"/>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根据《中华人民共和国传染病防治法》传染病分为甲类、乙类和丙类。</w:t>
      </w:r>
    </w:p>
    <w:p>
      <w:pPr>
        <w:pStyle w:val="5"/>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Autospacing="0" w:line="606" w:lineRule="exact"/>
        <w:ind w:left="0" w:firstLine="640" w:firstLineChars="200"/>
        <w:jc w:val="both"/>
        <w:textAlignment w:val="auto"/>
        <w:rPr>
          <w:rFonts w:hint="eastAsia" w:ascii="仿宋_GB2312" w:hAnsi="仿宋_GB2312" w:eastAsia="仿宋_GB2312" w:cs="仿宋_GB2312"/>
          <w:color w:val="auto"/>
          <w:kern w:val="0"/>
          <w:sz w:val="32"/>
          <w:szCs w:val="32"/>
          <w:lang w:val="en-US" w:eastAsia="zh-CN" w:bidi="ar-SA"/>
        </w:rPr>
      </w:pPr>
      <w:r>
        <w:rPr>
          <w:rFonts w:hint="eastAsia" w:ascii="楷体_GB2312" w:hAnsi="楷体_GB2312" w:eastAsia="楷体_GB2312" w:cs="楷体_GB2312"/>
          <w:color w:val="auto"/>
          <w:kern w:val="0"/>
          <w:sz w:val="32"/>
          <w:szCs w:val="32"/>
          <w:lang w:val="en-US" w:eastAsia="zh-CN" w:bidi="ar-SA"/>
        </w:rPr>
        <w:t>甲类传染病是指：</w:t>
      </w:r>
      <w:r>
        <w:rPr>
          <w:rFonts w:hint="eastAsia" w:ascii="仿宋_GB2312" w:hAnsi="仿宋_GB2312" w:eastAsia="仿宋_GB2312" w:cs="仿宋_GB2312"/>
          <w:color w:val="auto"/>
          <w:kern w:val="0"/>
          <w:sz w:val="32"/>
          <w:szCs w:val="32"/>
          <w:lang w:val="en-US" w:eastAsia="zh-CN" w:bidi="ar-SA"/>
        </w:rPr>
        <w:t>鼠疫、霍乱。</w:t>
      </w:r>
    </w:p>
    <w:p>
      <w:pPr>
        <w:pStyle w:val="5"/>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Autospacing="0" w:line="606" w:lineRule="exact"/>
        <w:ind w:left="0" w:firstLine="640" w:firstLineChars="200"/>
        <w:jc w:val="both"/>
        <w:textAlignment w:val="auto"/>
        <w:rPr>
          <w:rFonts w:hint="eastAsia" w:ascii="仿宋_GB2312" w:hAnsi="仿宋_GB2312" w:eastAsia="仿宋_GB2312" w:cs="仿宋_GB2312"/>
          <w:color w:val="auto"/>
          <w:kern w:val="0"/>
          <w:sz w:val="32"/>
          <w:szCs w:val="32"/>
          <w:lang w:val="en-US" w:eastAsia="zh-CN" w:bidi="ar-SA"/>
        </w:rPr>
      </w:pPr>
      <w:r>
        <w:rPr>
          <w:rFonts w:hint="eastAsia" w:ascii="楷体_GB2312" w:hAnsi="楷体_GB2312" w:eastAsia="楷体_GB2312" w:cs="楷体_GB2312"/>
          <w:color w:val="auto"/>
          <w:kern w:val="0"/>
          <w:sz w:val="32"/>
          <w:szCs w:val="32"/>
          <w:lang w:val="en-US" w:eastAsia="zh-CN" w:bidi="ar-SA"/>
        </w:rPr>
        <w:t>乙类传染病是指：</w:t>
      </w:r>
      <w:r>
        <w:rPr>
          <w:rFonts w:hint="eastAsia" w:ascii="仿宋_GB2312" w:hAnsi="仿宋_GB2312" w:eastAsia="仿宋_GB2312" w:cs="仿宋_GB2312"/>
          <w:color w:val="auto"/>
          <w:kern w:val="0"/>
          <w:sz w:val="32"/>
          <w:szCs w:val="32"/>
          <w:lang w:val="en-US" w:eastAsia="zh-CN" w:bidi="ar-SA"/>
        </w:rPr>
        <w:t>传染性非典型肺炎、艾滋病、病毒性肝炎、脊髓灰质炎、人感染高致病性禽流感、麻疹、流行性出血热、狂犬病、流行性乙型脑炎、登革热、炭疽、细菌性和阿米巴性痢疾、肺结核、伤寒和副伤寒、流行性脑脊髓膜炎、百日咳、白喉、新生儿破伤风、猩红热、布鲁氏菌病、淋病、梅毒、钩端螺旋体病、血吸虫病、疟疾。</w:t>
      </w:r>
    </w:p>
    <w:p>
      <w:pPr>
        <w:pStyle w:val="5"/>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Autospacing="0" w:line="606" w:lineRule="exact"/>
        <w:ind w:left="0" w:firstLine="640" w:firstLineChars="200"/>
        <w:jc w:val="both"/>
        <w:textAlignment w:val="auto"/>
        <w:rPr>
          <w:rFonts w:hint="eastAsia" w:ascii="仿宋_GB2312" w:hAnsi="仿宋_GB2312" w:eastAsia="仿宋_GB2312" w:cs="仿宋_GB2312"/>
          <w:color w:val="auto"/>
          <w:kern w:val="0"/>
          <w:sz w:val="32"/>
          <w:szCs w:val="32"/>
          <w:lang w:val="en-US" w:eastAsia="zh-CN" w:bidi="ar-SA"/>
        </w:rPr>
      </w:pPr>
      <w:r>
        <w:rPr>
          <w:rFonts w:hint="eastAsia" w:ascii="楷体_GB2312" w:hAnsi="楷体_GB2312" w:eastAsia="楷体_GB2312" w:cs="楷体_GB2312"/>
          <w:color w:val="auto"/>
          <w:kern w:val="0"/>
          <w:sz w:val="32"/>
          <w:szCs w:val="32"/>
          <w:lang w:val="en-US" w:eastAsia="zh-CN" w:bidi="ar-SA"/>
        </w:rPr>
        <w:t>丙类传染病是指：</w:t>
      </w:r>
      <w:r>
        <w:rPr>
          <w:rFonts w:hint="eastAsia" w:ascii="仿宋_GB2312" w:hAnsi="仿宋_GB2312" w:eastAsia="仿宋_GB2312" w:cs="仿宋_GB2312"/>
          <w:color w:val="auto"/>
          <w:kern w:val="0"/>
          <w:sz w:val="32"/>
          <w:szCs w:val="32"/>
          <w:lang w:val="en-US" w:eastAsia="zh-CN" w:bidi="ar-SA"/>
        </w:rPr>
        <w:t>流行性感冒、流行性腮腺炎、风疹、急性出血性结膜炎、麻风病、流行性和地方性斑疹伤寒、黑热病、包虫病、丝虫病，除霍乱、细菌性和阿米巴性痢疾、伤寒和副伤寒以外的感染性腹泻病。</w:t>
      </w:r>
    </w:p>
    <w:p>
      <w:pPr>
        <w:pStyle w:val="5"/>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Autospacing="0" w:line="606" w:lineRule="exact"/>
        <w:ind w:left="0" w:firstLine="640" w:firstLineChars="200"/>
        <w:jc w:val="both"/>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上述规定以外的其他传染病，根据其暴发、流行情况和危害程度，需要列入乙类、丙类传染病的，由国务院卫生行政部门决定并予以公布。</w:t>
      </w:r>
    </w:p>
    <w:p>
      <w:pPr>
        <w:keepNext w:val="0"/>
        <w:keepLines w:val="0"/>
        <w:pageBreakBefore w:val="0"/>
        <w:widowControl w:val="0"/>
        <w:kinsoku/>
        <w:wordWrap/>
        <w:overflowPunct/>
        <w:topLinePunct w:val="0"/>
        <w:autoSpaceDE/>
        <w:autoSpaceDN/>
        <w:bidi w:val="0"/>
        <w:adjustRightInd/>
        <w:snapToGrid/>
        <w:spacing w:line="606" w:lineRule="exact"/>
        <w:ind w:firstLine="640" w:firstLineChars="200"/>
        <w:jc w:val="both"/>
        <w:textAlignment w:val="auto"/>
        <w:rPr>
          <w:rFonts w:hint="eastAsia" w:ascii="仿宋" w:hAnsi="仿宋" w:eastAsia="仿宋" w:cs="仿宋"/>
          <w:b w:val="0"/>
          <w:bCs w:val="0"/>
          <w:i w:val="0"/>
          <w:iCs w:val="0"/>
          <w:caps w:val="0"/>
          <w:color w:val="auto"/>
          <w:spacing w:val="0"/>
          <w:sz w:val="32"/>
          <w:szCs w:val="32"/>
          <w:shd w:val="clear" w:fill="FFFFFF"/>
        </w:rPr>
      </w:pPr>
    </w:p>
    <w:p/>
    <w:sectPr>
      <w:pgSz w:w="11906" w:h="16838"/>
      <w:pgMar w:top="1984" w:right="1474" w:bottom="1440" w:left="1587" w:header="851" w:footer="1417" w:gutter="0"/>
      <w:pgNumType w:fmt="decimal"/>
      <w:cols w:space="0" w:num="1"/>
      <w:rtlGutter w:val="0"/>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黑体_GBK">
    <w:altName w:val="Arial Unicode MS"/>
    <w:panose1 w:val="03000509000000000000"/>
    <w:charset w:val="86"/>
    <w:family w:val="script"/>
    <w:pitch w:val="default"/>
    <w:sig w:usb0="00000000" w:usb1="0000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CESI仿宋-GB2312">
    <w:altName w:val="仿宋"/>
    <w:panose1 w:val="02000500000000000000"/>
    <w:charset w:val="86"/>
    <w:family w:val="auto"/>
    <w:pitch w:val="default"/>
    <w:sig w:usb0="00000000" w:usb1="00000000" w:usb2="00000010" w:usb3="00000000" w:csb0="0004000F"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r>
                            <w:rPr>
                              <w:rFonts w:hint="eastAsia" w:ascii="宋体" w:hAnsi="宋体" w:eastAsia="宋体" w:cs="宋体"/>
                              <w:sz w:val="24"/>
                              <w:szCs w:val="24"/>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R3mOY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1HeY5jICAABjBAAADgAAAAAAAAABACAAAAAfAQAAZHJzL2Uyb0RvYy54bWxQSwUG&#10;AAAAAAYABgBZAQAAwwUAAAAA&#10;">
              <v:fill on="f" focussize="0,0"/>
              <v:stroke on="f" weight="0.5pt"/>
              <v:imagedata o:title=""/>
              <o:lock v:ext="edit" aspectratio="f"/>
              <v:textbox inset="0mm,0mm,0mm,0mm" style="mso-fit-shape-to-text:t;">
                <w:txbxContent>
                  <w:p>
                    <w:pPr>
                      <w:pStyle w:val="3"/>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r>
                      <w:rPr>
                        <w:rFonts w:hint="eastAsia" w:ascii="宋体" w:hAnsi="宋体" w:eastAsia="宋体" w:cs="宋体"/>
                        <w:sz w:val="24"/>
                        <w:szCs w:val="24"/>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63"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sz w:val="1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26</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wrap="none" lIns="0" tIns="0" rIns="0" bIns="0" upright="0">
                      <a:spAutoFit/>
                    </wps:bodyPr>
                  </wps:wsp>
                </a:graphicData>
              </a:graphic>
            </wp:anchor>
          </w:drawing>
        </mc:Choice>
        <mc:Fallback>
          <w:pict>
            <v:shape id="文本框 2"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DOqXm5zwAAAAUBAAAPAAAAAAAAAAEAIAAAACIAAABkcnMv&#10;ZG93bnJldi54bWxQSwECFAAUAAAACACHTuJASyzHtdMBAACjAwAADgAAAAAAAAABACAAAAAeAQAA&#10;ZHJzL2Uyb0RvYy54bWxQSwUGAAAAAAYABgBZAQAAYwUAAAAA&#10;">
              <v:fill on="f" focussize="0,0"/>
              <v:stroke on="f"/>
              <v:imagedata o:title=""/>
              <o:lock v:ext="edit" aspectratio="f"/>
              <v:textbox inset="0mm,0mm,0mm,0mm" style="mso-fit-shape-to-text:t;">
                <w:txbxContent>
                  <w:p>
                    <w:pPr>
                      <w:snapToGrid w:val="0"/>
                      <w:rPr>
                        <w:rFonts w:hint="eastAsia"/>
                        <w:sz w:val="1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26</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19</w:t>
                          </w:r>
                          <w:r>
                            <w:rPr>
                              <w:rFonts w:hint="eastAsia" w:ascii="宋体" w:hAnsi="宋体" w:eastAsia="宋体" w:cs="宋体"/>
                              <w:sz w:val="24"/>
                              <w:szCs w:val="24"/>
                            </w:rPr>
                            <w:fldChar w:fldCharType="end"/>
                          </w:r>
                          <w:r>
                            <w:rPr>
                              <w:rFonts w:hint="eastAsia" w:ascii="宋体" w:hAnsi="宋体" w:eastAsia="宋体" w:cs="宋体"/>
                              <w:sz w:val="24"/>
                              <w:szCs w:val="24"/>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bfDwky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t8PCTICAABjBAAADgAAAAAAAAABACAAAAAfAQAAZHJzL2Uyb0RvYy54bWxQSwUG&#10;AAAAAAYABgBZAQAAwwUAAAAA&#10;">
              <v:fill on="f" focussize="0,0"/>
              <v:stroke on="f" weight="0.5pt"/>
              <v:imagedata o:title=""/>
              <o:lock v:ext="edit" aspectratio="f"/>
              <v:textbox inset="0mm,0mm,0mm,0mm" style="mso-fit-shape-to-text:t;">
                <w:txbxContent>
                  <w:p>
                    <w:pPr>
                      <w:pStyle w:val="3"/>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19</w:t>
                    </w:r>
                    <w:r>
                      <w:rPr>
                        <w:rFonts w:hint="eastAsia" w:ascii="宋体" w:hAnsi="宋体" w:eastAsia="宋体" w:cs="宋体"/>
                        <w:sz w:val="24"/>
                        <w:szCs w:val="24"/>
                      </w:rPr>
                      <w:fldChar w:fldCharType="end"/>
                    </w:r>
                    <w:r>
                      <w:rPr>
                        <w:rFonts w:hint="eastAsia" w:ascii="宋体" w:hAnsi="宋体" w:eastAsia="宋体" w:cs="宋体"/>
                        <w:sz w:val="24"/>
                        <w:szCs w:val="24"/>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EwYTNmY2RiZjUzNDA1MjlhMGZjNTZmOTNjM2UxZWEifQ=="/>
  </w:docVars>
  <w:rsids>
    <w:rsidRoot w:val="437C150D"/>
    <w:rsid w:val="437C150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ind w:firstLine="720" w:firstLineChars="225"/>
    </w:pPr>
    <w:rPr>
      <w:rFonts w:ascii="仿宋_GB2312" w:eastAsia="仿宋_GB2312"/>
      <w:sz w:val="32"/>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next w:val="1"/>
    <w:qFormat/>
    <w:uiPriority w:val="0"/>
    <w:pPr>
      <w:spacing w:before="0" w:beforeAutospacing="1" w:after="0" w:afterAutospacing="1"/>
      <w:ind w:left="0" w:right="0"/>
      <w:jc w:val="left"/>
    </w:pPr>
    <w:rPr>
      <w:kern w:val="0"/>
      <w:sz w:val="24"/>
      <w:lang w:val="en-US" w:eastAsia="zh-CN" w:bidi="ar"/>
    </w:rPr>
  </w:style>
  <w:style w:type="paragraph" w:styleId="6">
    <w:name w:val="Body Text First Indent 2"/>
    <w:basedOn w:val="2"/>
    <w:qFormat/>
    <w:uiPriority w:val="0"/>
    <w:pPr>
      <w:autoSpaceDE/>
      <w:autoSpaceDN/>
      <w:adjustRightInd/>
      <w:spacing w:after="120"/>
      <w:ind w:firstLine="420"/>
    </w:pPr>
    <w:rPr>
      <w:rFonts w:ascii="Calibri" w:eastAsia="宋体"/>
      <w:kern w:val="0"/>
      <w:sz w:val="24"/>
      <w:szCs w:val="24"/>
      <w:lang w:val="en-US"/>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
    <w:name w:val="p0"/>
    <w:basedOn w:val="1"/>
    <w:qFormat/>
    <w:uiPriority w:val="0"/>
    <w:pPr>
      <w:widowControl/>
    </w:pPr>
    <w:rPr>
      <w:kern w:val="0"/>
      <w:szCs w:val="2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2023-05-29T01:37:00Z</dcterms:created>
  <dc:creator>Administrator</dc:creator>
  <cp:lastModifiedBy>Administrator</cp:lastModifiedBy>
  <dcterms:modified xsi:type="dcterms:W3CDTF">2023-05-29T01:38:52Z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FC29DAC3EF5E4465896F2F8722EC55FB_11</vt:lpwstr>
  </property>
</Properties>
</file>