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E4" w:rsidRPr="00A541E4" w:rsidRDefault="00A541E4" w:rsidP="00A541E4">
      <w:pPr>
        <w:adjustRightInd/>
        <w:snapToGrid/>
        <w:spacing w:after="0" w:line="600" w:lineRule="atLeast"/>
        <w:jc w:val="center"/>
        <w:rPr>
          <w:rFonts w:ascii="Simsun" w:eastAsia="宋体" w:hAnsi="Simsun" w:cs="宋体" w:hint="eastAsia"/>
          <w:color w:val="333333"/>
          <w:sz w:val="21"/>
          <w:szCs w:val="21"/>
        </w:rPr>
      </w:pPr>
      <w:r w:rsidRPr="00A541E4">
        <w:rPr>
          <w:rFonts w:ascii="宋体" w:eastAsia="宋体" w:hAnsi="宋体" w:cs="宋体" w:hint="eastAsia"/>
          <w:b/>
          <w:bCs/>
          <w:color w:val="333333"/>
          <w:sz w:val="44"/>
          <w:szCs w:val="44"/>
        </w:rPr>
        <w:t>名</w:t>
      </w:r>
      <w:r w:rsidRPr="00A541E4">
        <w:rPr>
          <w:rFonts w:ascii="宋体" w:eastAsia="宋体" w:hAnsi="宋体" w:cs="宋体" w:hint="eastAsia"/>
          <w:b/>
          <w:bCs/>
          <w:color w:val="333333"/>
          <w:sz w:val="44"/>
        </w:rPr>
        <w:t> </w:t>
      </w:r>
      <w:r w:rsidRPr="00A541E4">
        <w:rPr>
          <w:rFonts w:ascii="宋体" w:eastAsia="宋体" w:hAnsi="宋体" w:cs="宋体" w:hint="eastAsia"/>
          <w:b/>
          <w:bCs/>
          <w:color w:val="333333"/>
          <w:sz w:val="44"/>
          <w:szCs w:val="44"/>
        </w:rPr>
        <w:t> 词</w:t>
      </w:r>
      <w:r w:rsidRPr="00A541E4">
        <w:rPr>
          <w:rFonts w:ascii="宋体" w:eastAsia="宋体" w:hAnsi="宋体" w:cs="宋体" w:hint="eastAsia"/>
          <w:b/>
          <w:bCs/>
          <w:color w:val="333333"/>
          <w:sz w:val="44"/>
        </w:rPr>
        <w:t> </w:t>
      </w:r>
      <w:r w:rsidRPr="00A541E4">
        <w:rPr>
          <w:rFonts w:ascii="宋体" w:eastAsia="宋体" w:hAnsi="宋体" w:cs="宋体" w:hint="eastAsia"/>
          <w:b/>
          <w:bCs/>
          <w:color w:val="333333"/>
          <w:sz w:val="44"/>
          <w:szCs w:val="44"/>
        </w:rPr>
        <w:t> 解</w:t>
      </w:r>
      <w:r w:rsidRPr="00A541E4">
        <w:rPr>
          <w:rFonts w:ascii="宋体" w:eastAsia="宋体" w:hAnsi="宋体" w:cs="宋体" w:hint="eastAsia"/>
          <w:b/>
          <w:bCs/>
          <w:color w:val="333333"/>
          <w:sz w:val="44"/>
        </w:rPr>
        <w:t> </w:t>
      </w:r>
      <w:r w:rsidRPr="00A541E4">
        <w:rPr>
          <w:rFonts w:ascii="宋体" w:eastAsia="宋体" w:hAnsi="宋体" w:cs="宋体" w:hint="eastAsia"/>
          <w:b/>
          <w:bCs/>
          <w:color w:val="333333"/>
          <w:sz w:val="44"/>
          <w:szCs w:val="44"/>
        </w:rPr>
        <w:t> 释</w:t>
      </w:r>
    </w:p>
    <w:p w:rsidR="00A541E4" w:rsidRPr="00A541E4" w:rsidRDefault="00A541E4" w:rsidP="00A541E4">
      <w:pPr>
        <w:adjustRightInd/>
        <w:snapToGrid/>
        <w:spacing w:after="0" w:line="600" w:lineRule="atLeast"/>
        <w:ind w:firstLine="883"/>
        <w:jc w:val="center"/>
        <w:rPr>
          <w:rFonts w:ascii="Simsun" w:eastAsia="宋体" w:hAnsi="Simsun" w:cs="宋体" w:hint="eastAsia"/>
          <w:color w:val="333333"/>
          <w:sz w:val="21"/>
          <w:szCs w:val="21"/>
        </w:rPr>
      </w:pPr>
      <w:r w:rsidRPr="00A541E4">
        <w:rPr>
          <w:rFonts w:ascii="宋体" w:eastAsia="宋体" w:hAnsi="宋体" w:cs="宋体" w:hint="eastAsia"/>
          <w:b/>
          <w:bCs/>
          <w:color w:val="333333"/>
          <w:sz w:val="44"/>
          <w:szCs w:val="44"/>
        </w:rPr>
        <w:t> </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一般公共预算收入：</w:t>
      </w:r>
      <w:r w:rsidRPr="00A541E4">
        <w:rPr>
          <w:rFonts w:ascii="仿宋_GB2312" w:eastAsia="仿宋_GB2312" w:hAnsi="Simsun" w:cs="宋体" w:hint="eastAsia"/>
          <w:color w:val="333333"/>
          <w:sz w:val="32"/>
          <w:szCs w:val="32"/>
        </w:rPr>
        <w:t>指按照财政体制规定列入地方预算，直接缴入地方金库的财政收入。具体由两部分组成，一是税收收入，包括增值税、企业所得税、个人所得税的地方分享部分，资源税、城市维护建设税、房产税、印花税、城镇土地使用税、土地增值税、车船税、契税、耕地占用税等；二是非税收入，包括专项收入、行政事业性收费收入、罚没收入、国有资本经营收入、国有资源（资产）有偿使用收入、捐赠收入、政府住房基金收入、其他收入等。</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财政总收入：</w:t>
      </w:r>
      <w:r w:rsidRPr="00A541E4">
        <w:rPr>
          <w:rFonts w:ascii="仿宋_GB2312" w:eastAsia="仿宋_GB2312" w:hAnsi="Simsun" w:cs="宋体" w:hint="eastAsia"/>
          <w:color w:val="333333"/>
          <w:sz w:val="32"/>
          <w:szCs w:val="32"/>
        </w:rPr>
        <w:t>即一般公共预算收入与上划中央、省级、市级收入之和，反映本地区当年组织的财政收入总规模，是计算当年地方可用财力的主要依据。</w:t>
      </w:r>
    </w:p>
    <w:p w:rsidR="00A541E4" w:rsidRPr="00A541E4" w:rsidRDefault="00A541E4" w:rsidP="00A541E4">
      <w:pPr>
        <w:adjustRightInd/>
        <w:snapToGrid/>
        <w:spacing w:after="0" w:line="62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一般公共预算支出：</w:t>
      </w:r>
      <w:r w:rsidRPr="00A541E4">
        <w:rPr>
          <w:rFonts w:ascii="仿宋_GB2312" w:eastAsia="仿宋_GB2312" w:hAnsi="Simsun" w:cs="宋体" w:hint="eastAsia"/>
          <w:color w:val="333333"/>
          <w:sz w:val="32"/>
          <w:szCs w:val="32"/>
        </w:rPr>
        <w:t>指列入地方预算的财政支出，其支出项目按功能设置“类”级科目，包括：一般公共服务支出、国防支出、公共安全支出、教育支出、科学技术支出、文化体育与传媒支出、社会保障和就业支出、医疗卫生与计划生育支出、节能环保支出、城乡社区支出、农林</w:t>
      </w:r>
      <w:r w:rsidRPr="00A541E4">
        <w:rPr>
          <w:rFonts w:ascii="仿宋_GB2312" w:eastAsia="仿宋_GB2312" w:hAnsi="Simsun" w:cs="宋体" w:hint="eastAsia"/>
          <w:color w:val="333333"/>
          <w:sz w:val="32"/>
          <w:szCs w:val="32"/>
        </w:rPr>
        <w:lastRenderedPageBreak/>
        <w:t>水支出、交通运输支出、资源勘探信息等支出、商业服务业等支出、金融支出、国土海洋气象等支出、住房保障支出、粮油物资储备支出、预备费、债务付息支出及其他支出等。其资金来源包括用地方当年财力安排的支出、上年结余、调入资金和上级一般性及专项转移支付补助收入安排的支出。</w:t>
      </w:r>
    </w:p>
    <w:p w:rsidR="00A541E4" w:rsidRPr="00A541E4" w:rsidRDefault="00A541E4" w:rsidP="00A541E4">
      <w:pPr>
        <w:adjustRightInd/>
        <w:snapToGrid/>
        <w:spacing w:after="0" w:line="62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政府性基金预算：</w:t>
      </w:r>
      <w:r w:rsidRPr="00A541E4">
        <w:rPr>
          <w:rFonts w:ascii="仿宋_GB2312" w:eastAsia="仿宋_GB2312" w:hAnsi="Simsun" w:cs="宋体" w:hint="eastAsia"/>
          <w:color w:val="333333"/>
          <w:sz w:val="32"/>
          <w:szCs w:val="32"/>
        </w:rPr>
        <w:t>指政府通过向社会征收基金、收费，以及出让土地、发行彩票等方式取得的收入，专项用于支持特定基础设施建设和社会事业发展的收支预算，是政府预算收支的组成部分。其特点是目的性强、专款专用。从2015年1月1日起，将政府性基金预算中用于提供基本公共服务以及主要用于人员和机构运转等方面的项目收支转列一般公共预算，具体包括地方教育附加、文化事业建设费、残疾人就业保障金、从地方土地出让收益计提的农田水利建设和教育资金、转让政府还贷道路收费权收入、育林基金、森林植被恢复费、水利建设基金、船舶港务费等基金。2016年1月1日起，将水土保持补偿费、政府住房基金、无线电频率占用费、铁路资产变现收入、电力改革预留资产变现收入等5项政府性基金转列一般公共预算。</w:t>
      </w:r>
      <w:r w:rsidRPr="00A541E4">
        <w:rPr>
          <w:rFonts w:ascii="仿宋_GB2312" w:eastAsia="仿宋_GB2312" w:hAnsi="Simsun" w:cs="宋体" w:hint="eastAsia"/>
          <w:color w:val="333333"/>
          <w:sz w:val="32"/>
          <w:szCs w:val="32"/>
        </w:rPr>
        <w:lastRenderedPageBreak/>
        <w:t>2017年1月1日起，将新增建设用地土地有偿使用费、南水北调工程基金、烟草企业上缴专项收入三项政府性基金转列一般公共预算。2017年4月1日起，取消了新型墙体材料专项基金、城市公用事业附加。</w:t>
      </w:r>
    </w:p>
    <w:p w:rsidR="00A541E4" w:rsidRPr="00A541E4" w:rsidRDefault="00A541E4" w:rsidP="00A541E4">
      <w:pPr>
        <w:adjustRightInd/>
        <w:snapToGrid/>
        <w:spacing w:after="0" w:line="62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社会保险基金：</w:t>
      </w:r>
      <w:r w:rsidRPr="00A541E4">
        <w:rPr>
          <w:rFonts w:ascii="仿宋_GB2312" w:eastAsia="仿宋_GB2312" w:hAnsi="Simsun" w:cs="宋体" w:hint="eastAsia"/>
          <w:color w:val="333333"/>
          <w:sz w:val="32"/>
          <w:szCs w:val="32"/>
        </w:rPr>
        <w:t>社会保险基金包括基本养老保险基金、基本医疗保险基金、失业保险基金、工伤保险基金、生育保险基金等。社会保险基金来源可以大致分为四个方面:(一)由参保人按其工资收入(无法确定工资收入的按职工平均工资)的一定比例缴纳的保险费;(二)由参保人所在单位按本单位职工工资总额的一定比例缴纳的保险费;(三)政府对社会保险基金的财政补贴;(四)社会保险基金的银行利息或投资回报及社会捐赠等。</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部门预算：</w:t>
      </w:r>
      <w:r w:rsidRPr="00A541E4">
        <w:rPr>
          <w:rFonts w:ascii="仿宋_GB2312" w:eastAsia="仿宋_GB2312" w:hAnsi="Simsun" w:cs="宋体" w:hint="eastAsia"/>
          <w:color w:val="333333"/>
          <w:sz w:val="32"/>
          <w:szCs w:val="32"/>
        </w:rPr>
        <w:t>简单地说就是“一个部门一本预算”，完整地反映一个部门的所有收入和所有支出，即一个部门在部门预算之外，不得再有其他收支活动。部门预算的特点就是改变财政资金按性质归口管理的做法，并实行预算内资金和部门事业收入及其他收入收支统管，统筹使用。</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国库集中收付制度：</w:t>
      </w:r>
      <w:r w:rsidRPr="00A541E4">
        <w:rPr>
          <w:rFonts w:ascii="仿宋_GB2312" w:eastAsia="仿宋_GB2312" w:hAnsi="Simsun" w:cs="宋体" w:hint="eastAsia"/>
          <w:color w:val="333333"/>
          <w:spacing w:val="-7"/>
          <w:sz w:val="32"/>
          <w:szCs w:val="32"/>
        </w:rPr>
        <w:t>一般也称为国库单一账户制度，包括国库集中支付和集中收缴制度。是指由财政部门代表政府</w:t>
      </w:r>
      <w:r w:rsidRPr="00A541E4">
        <w:rPr>
          <w:rFonts w:ascii="仿宋_GB2312" w:eastAsia="仿宋_GB2312" w:hAnsi="Simsun" w:cs="宋体" w:hint="eastAsia"/>
          <w:color w:val="333333"/>
          <w:spacing w:val="-7"/>
          <w:sz w:val="32"/>
          <w:szCs w:val="32"/>
        </w:rPr>
        <w:lastRenderedPageBreak/>
        <w:t>设置国库单一账户体系，将所有财政性资金的收入和支出全部纳入国库</w:t>
      </w:r>
      <w:r w:rsidRPr="00A541E4">
        <w:rPr>
          <w:rFonts w:ascii="仿宋_GB2312" w:eastAsia="仿宋_GB2312" w:hAnsi="Simsun" w:cs="宋体" w:hint="eastAsia"/>
          <w:color w:val="333333"/>
          <w:sz w:val="32"/>
          <w:szCs w:val="32"/>
        </w:rPr>
        <w:t>单一账户体系管理和核算。财政收入通过国库单一账户体系直接缴入国库；财政支出按预算通过国库单一账户体系，由财政集中支付或授权预算单位支付到商品和劳务供应商或最终用款单位。未支用的财政资金均保留在国库单一账户，由财政部门代表政府进行管理运作。</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转移支付制度：</w:t>
      </w:r>
      <w:r w:rsidRPr="00A541E4">
        <w:rPr>
          <w:rFonts w:ascii="仿宋_GB2312" w:eastAsia="仿宋_GB2312" w:hAnsi="Simsun" w:cs="宋体" w:hint="eastAsia"/>
          <w:color w:val="333333"/>
          <w:sz w:val="32"/>
          <w:szCs w:val="32"/>
        </w:rPr>
        <w:t>是政府间的一种补助，是以各级政府之间所存在的财政能力差异为基础，以实现各地公共服务均等化为目标，而实行的一种财政资金转移或财政平衡制度。目前转移支付主要由一般性转移支付和专项转移支付构成。一般性转移支付不规定具体用途，由接受拨款的政府自主使用，包括均衡性转移支付、县级基本财力保障机制奖补资金、农村综合改革转移支付、重点生态功能区转移支付等；专项转移支付又称专项拨款，是有附加条件、规定资金使用范围的转移支付，要求专款专用。目前，专项转移支付主要用于农林水事务、交通运输、节能环保、社会保障、住房保障和教育等方面。</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“营改增”：</w:t>
      </w:r>
      <w:r w:rsidRPr="00A541E4">
        <w:rPr>
          <w:rFonts w:ascii="仿宋_GB2312" w:eastAsia="仿宋_GB2312" w:hAnsi="Simsun" w:cs="宋体" w:hint="eastAsia"/>
          <w:color w:val="333333"/>
          <w:sz w:val="32"/>
          <w:szCs w:val="32"/>
        </w:rPr>
        <w:t>是指将以前缴纳营业税的应税项目改成缴纳增值税，简称“营改增”。“营改增”会确保所有行</w:t>
      </w:r>
      <w:r w:rsidRPr="00A541E4">
        <w:rPr>
          <w:rFonts w:ascii="仿宋_GB2312" w:eastAsia="仿宋_GB2312" w:hAnsi="Simsun" w:cs="宋体" w:hint="eastAsia"/>
          <w:color w:val="333333"/>
          <w:sz w:val="32"/>
          <w:szCs w:val="32"/>
        </w:rPr>
        <w:lastRenderedPageBreak/>
        <w:t>业的税负只减不增。2011年，经国务院批准，</w:t>
      </w:r>
      <w:hyperlink r:id="rId4" w:history="1">
        <w:r w:rsidRPr="00A541E4">
          <w:rPr>
            <w:rFonts w:ascii="仿宋_GB2312" w:eastAsia="仿宋_GB2312" w:hAnsi="Simsun" w:cs="宋体" w:hint="eastAsia"/>
            <w:color w:val="333333"/>
            <w:sz w:val="32"/>
          </w:rPr>
          <w:t>财政部</w:t>
        </w:r>
      </w:hyperlink>
      <w:r w:rsidRPr="00A541E4">
        <w:rPr>
          <w:rFonts w:ascii="仿宋_GB2312" w:eastAsia="仿宋_GB2312" w:hAnsi="Simsun" w:cs="宋体" w:hint="eastAsia"/>
          <w:color w:val="333333"/>
          <w:sz w:val="32"/>
          <w:szCs w:val="32"/>
        </w:rPr>
        <w:t>、国家税务总局联合下发</w:t>
      </w:r>
      <w:hyperlink r:id="rId5" w:history="1">
        <w:r w:rsidRPr="00A541E4">
          <w:rPr>
            <w:rFonts w:ascii="仿宋_GB2312" w:eastAsia="仿宋_GB2312" w:hAnsi="Simsun" w:cs="宋体" w:hint="eastAsia"/>
            <w:color w:val="333333"/>
            <w:sz w:val="32"/>
          </w:rPr>
          <w:t>营业税</w:t>
        </w:r>
      </w:hyperlink>
      <w:r w:rsidRPr="00A541E4">
        <w:rPr>
          <w:rFonts w:ascii="仿宋_GB2312" w:eastAsia="仿宋_GB2312" w:hAnsi="Simsun" w:cs="宋体" w:hint="eastAsia"/>
          <w:color w:val="333333"/>
          <w:sz w:val="32"/>
          <w:szCs w:val="32"/>
        </w:rPr>
        <w:t>改</w:t>
      </w:r>
      <w:hyperlink r:id="rId6" w:history="1">
        <w:r w:rsidRPr="00A541E4">
          <w:rPr>
            <w:rFonts w:ascii="仿宋_GB2312" w:eastAsia="仿宋_GB2312" w:hAnsi="Simsun" w:cs="宋体" w:hint="eastAsia"/>
            <w:color w:val="333333"/>
            <w:sz w:val="32"/>
          </w:rPr>
          <w:t>增值税</w:t>
        </w:r>
      </w:hyperlink>
      <w:r w:rsidRPr="00A541E4">
        <w:rPr>
          <w:rFonts w:ascii="仿宋_GB2312" w:eastAsia="仿宋_GB2312" w:hAnsi="Simsun" w:cs="宋体" w:hint="eastAsia"/>
          <w:color w:val="333333"/>
          <w:sz w:val="32"/>
          <w:szCs w:val="32"/>
        </w:rPr>
        <w:t>试点方案。从2012年1月1日起，在上海</w:t>
      </w:r>
      <w:hyperlink r:id="rId7" w:history="1">
        <w:r w:rsidRPr="00A541E4">
          <w:rPr>
            <w:rFonts w:ascii="仿宋_GB2312" w:eastAsia="仿宋_GB2312" w:hAnsi="Simsun" w:cs="宋体" w:hint="eastAsia"/>
            <w:color w:val="333333"/>
            <w:sz w:val="32"/>
          </w:rPr>
          <w:t>交通运输业</w:t>
        </w:r>
      </w:hyperlink>
      <w:r w:rsidRPr="00A541E4">
        <w:rPr>
          <w:rFonts w:ascii="仿宋_GB2312" w:eastAsia="仿宋_GB2312" w:hAnsi="Simsun" w:cs="宋体" w:hint="eastAsia"/>
          <w:color w:val="333333"/>
          <w:sz w:val="32"/>
          <w:szCs w:val="32"/>
        </w:rPr>
        <w:t>和部分</w:t>
      </w:r>
      <w:hyperlink r:id="rId8" w:history="1">
        <w:r w:rsidRPr="00A541E4">
          <w:rPr>
            <w:rFonts w:ascii="仿宋_GB2312" w:eastAsia="仿宋_GB2312" w:hAnsi="Simsun" w:cs="宋体" w:hint="eastAsia"/>
            <w:color w:val="333333"/>
            <w:sz w:val="32"/>
          </w:rPr>
          <w:t>现代服务业</w:t>
        </w:r>
      </w:hyperlink>
      <w:r w:rsidRPr="00A541E4">
        <w:rPr>
          <w:rFonts w:ascii="仿宋_GB2312" w:eastAsia="仿宋_GB2312" w:hAnsi="Simsun" w:cs="宋体" w:hint="eastAsia"/>
          <w:color w:val="333333"/>
          <w:sz w:val="32"/>
          <w:szCs w:val="32"/>
        </w:rPr>
        <w:t>开展营业税改征增值税试点。至2013年8月1日，“营改增”范围推广到全国试行。自2016年5月1日起，国家全面实施“营改增”，营业税退出历史舞台。这是自1994年分税制改革以来，财税体制的又一次深刻变革。</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水资源税改革：</w:t>
      </w:r>
      <w:r w:rsidRPr="00A541E4">
        <w:rPr>
          <w:rFonts w:ascii="仿宋_GB2312" w:eastAsia="仿宋_GB2312" w:hAnsi="Simsun" w:cs="宋体" w:hint="eastAsia"/>
          <w:color w:val="333333"/>
          <w:sz w:val="32"/>
          <w:szCs w:val="32"/>
        </w:rPr>
        <w:t>根据党中央、国务院决策部署，为进一步加强水资源管理和保护，促进水资源节约与合理开发利用，2016年7月1日，河北省率先开展了水资源税改革。2017年，中央启动水资源税改革第二批试点，包括我省在内的9个省（市、区）列入试点范围，2017年12月1日实施。按照国家授权，省人民政府印发了《山西省人民政府关于印发山西省水资源税改革试点实施办法的通知》（晋政发〔2017〕60号），明确了我省具体实施办法。水资源税改革试点期间，我省以“有序衔接、税费平移、注重调控”为原则，将水资源费标准降为零，改为征收水资源税。我省水资源税改革，旨在用税收杠杆抑制地下水超采和不合理用水需求，促进企业加大节水投入，主动采取措施减</w:t>
      </w:r>
      <w:r w:rsidRPr="00A541E4">
        <w:rPr>
          <w:rFonts w:ascii="仿宋_GB2312" w:eastAsia="仿宋_GB2312" w:hAnsi="Simsun" w:cs="宋体" w:hint="eastAsia"/>
          <w:color w:val="333333"/>
          <w:sz w:val="32"/>
          <w:szCs w:val="32"/>
        </w:rPr>
        <w:lastRenderedPageBreak/>
        <w:t>少用水量，调整用水结构和转变用水方式，推进资源全面节约和循环利用，推动形成绿色发展方式和生活方式，是我省作为资源型省份贯彻落实党的十九大精神，加强水资源管理和保护的重要举措。</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环境保护税改革：</w:t>
      </w:r>
      <w:r w:rsidRPr="00A541E4">
        <w:rPr>
          <w:rFonts w:ascii="仿宋_GB2312" w:eastAsia="仿宋_GB2312" w:hAnsi="Simsun" w:cs="宋体" w:hint="eastAsia"/>
          <w:color w:val="333333"/>
          <w:sz w:val="32"/>
          <w:szCs w:val="32"/>
        </w:rPr>
        <w:t>1979年颁布的《中华人民共和国环境保护法（试行）》确立了排污费制度，现行环境保护法延续了这一制度。为解决排污费制度执法刚性不足、地方政府与部门干预等问题，2016年12月25日第十二届全国人大常委会第二十五次会议审议通过了《中华人民共和国环境保护税法》，自2018年1月1日起执行。对在我国境内直接向环境排放应税污染物的单位和个人，由征收排污费改为征收环境保护税。《环境保护税法》的制定与施行，将通过税收调控的经济手段，形成有效的约束激励机制，进一步强化企业治污减排的主体责任，提高纳税人环保意识和遵从度，促进保护和改善环境、减少污染物排放，推进生态文明建设。</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政府财务报告：</w:t>
      </w:r>
      <w:r w:rsidRPr="00A541E4">
        <w:rPr>
          <w:rFonts w:ascii="仿宋_GB2312" w:eastAsia="仿宋_GB2312" w:hAnsi="Simsun" w:cs="宋体" w:hint="eastAsia"/>
          <w:color w:val="333333"/>
          <w:sz w:val="32"/>
          <w:szCs w:val="32"/>
        </w:rPr>
        <w:t>政府财务报告包括政府部门财务报告和政府综合财务报告。政府部门财务报告由政府部门编制。以权责发生制为基础，主要反映政府部门财务状况、运行</w:t>
      </w:r>
      <w:r w:rsidRPr="00A541E4">
        <w:rPr>
          <w:rFonts w:ascii="仿宋_GB2312" w:eastAsia="仿宋_GB2312" w:hAnsi="Simsun" w:cs="宋体" w:hint="eastAsia"/>
          <w:color w:val="333333"/>
          <w:sz w:val="32"/>
          <w:szCs w:val="32"/>
        </w:rPr>
        <w:lastRenderedPageBreak/>
        <w:t>情况等，为加强政府部门资产负债管理、预算管理、绩效管理等提供信息支撑。内容包括财务报表和财务分析等。政府综合财务报告由政府财政部门编制。以权责发生制为基础，主要反映政府整体财务状况、运行情况和财政中长期可持续等，可作为考核地方政府绩效、开展地方政府信用评级、评估预警地方政府债务风险、编制全国和地方资产负债表以及制定财政中长期规划和其他相关规划的重要依据。内容包括财务报表、政府财政经济分析和政府财政财务管理情况等。</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预算绩效管理：</w:t>
      </w:r>
      <w:r w:rsidRPr="00A541E4">
        <w:rPr>
          <w:rFonts w:ascii="仿宋_GB2312" w:eastAsia="仿宋_GB2312" w:hAnsi="Simsun" w:cs="宋体" w:hint="eastAsia"/>
          <w:color w:val="333333"/>
          <w:sz w:val="32"/>
          <w:szCs w:val="32"/>
        </w:rPr>
        <w:t>党的十九大报告提出全面实施预算绩效管理。预算绩效管理是一种以绩效目标的实现为导向，以绩效运行监控为保障，以绩效评价为手段，以结果应用为关键，以改进预算管理、优化资源配置、控制节约成本、提高公共产品质量和公共服务水平为目的的预算管理模式。预算绩效管理强调的是财政支出的责任和效率，要求在预算编制、执行、监督的全过程中更加关注预算资金的产出和结果，要求政府部门不断改进服务水平和质量，花少量的资金，办尽量多的实事，向社会公众提供更多、更好的公共产品和服务，使政府行为更加务实、高效。我县要求</w:t>
      </w:r>
      <w:r w:rsidRPr="00A541E4">
        <w:rPr>
          <w:rFonts w:ascii="仿宋_GB2312" w:eastAsia="仿宋_GB2312" w:hAnsi="Simsun" w:cs="宋体" w:hint="eastAsia"/>
          <w:color w:val="333333"/>
          <w:sz w:val="32"/>
          <w:szCs w:val="32"/>
        </w:rPr>
        <w:lastRenderedPageBreak/>
        <w:t>各部门对50万元（含50万元）以上的项目资金进行绩效目标的申报及评价。</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t>财政内控机制建设：</w:t>
      </w:r>
      <w:r w:rsidRPr="00A541E4">
        <w:rPr>
          <w:rFonts w:ascii="仿宋_GB2312" w:eastAsia="仿宋_GB2312" w:hAnsi="Simsun" w:cs="宋体" w:hint="eastAsia"/>
          <w:color w:val="333333"/>
          <w:sz w:val="32"/>
          <w:szCs w:val="32"/>
        </w:rPr>
        <w:t>党的十八届四中全会通过的《中共中央关于全面推进依法治国若干重大问题的决定》明确提出“加强对政府内部权力的制约，对财政资金分配使用、国有资产监管、政府投资、政府采购、公共资源转让、公共工程建设等权力集中的部门和岗位实行分事行权、分岗设权、分级授权、定期轮岗，强化内部流程控制，防止权力滥用”。这是党中央从依法治国的高度，从国家治理现代化的高度，对强化行政事业内控、强化权力制约提出的新要求。通过内控机制建设，进一步理顺业务流程，促进业务衔接，明确责任主体，规范财政管理，推进依法理财。</w:t>
      </w:r>
      <w:r w:rsidR="00582750" w:rsidRPr="00582750">
        <w:rPr>
          <w:rFonts w:ascii="Simsun" w:eastAsia="宋体" w:hAnsi="Simsun" w:cs="宋体"/>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25pt;height:.75pt"/>
        </w:pict>
      </w:r>
      <w:r w:rsidRPr="00A541E4">
        <w:rPr>
          <w:rFonts w:ascii="黑体" w:eastAsia="黑体" w:hAnsi="黑体" w:cs="宋体" w:hint="eastAsia"/>
          <w:color w:val="333333"/>
          <w:sz w:val="32"/>
          <w:szCs w:val="32"/>
        </w:rPr>
        <w:t>村级公益事业建设一事一议财政奖补：</w:t>
      </w:r>
      <w:r w:rsidRPr="00A541E4">
        <w:rPr>
          <w:rFonts w:ascii="仿宋_GB2312" w:eastAsia="仿宋_GB2312" w:hAnsi="Simsun" w:cs="宋体" w:hint="eastAsia"/>
          <w:color w:val="333333"/>
          <w:sz w:val="32"/>
          <w:szCs w:val="32"/>
        </w:rPr>
        <w:t>指村民通过规范的一事一议筹资筹劳开展村内公益事业建设项目，政府采取以奖代补、民办公助的方式，给予适当财政奖补。其目的是以农民自愿出资出劳为基础，以政府奖补资金为引导，建立多方投入、共同推进的村级公益事业建设投入新机制。</w:t>
      </w:r>
    </w:p>
    <w:p w:rsidR="00A541E4" w:rsidRPr="00A541E4" w:rsidRDefault="00A541E4" w:rsidP="00A541E4">
      <w:pPr>
        <w:adjustRightInd/>
        <w:snapToGrid/>
        <w:spacing w:after="0" w:line="600" w:lineRule="atLeast"/>
        <w:ind w:firstLine="640"/>
        <w:rPr>
          <w:rFonts w:ascii="Simsun" w:eastAsia="宋体" w:hAnsi="Simsun" w:cs="宋体" w:hint="eastAsia"/>
          <w:color w:val="333333"/>
          <w:sz w:val="21"/>
          <w:szCs w:val="21"/>
        </w:rPr>
      </w:pPr>
      <w:r w:rsidRPr="00A541E4">
        <w:rPr>
          <w:rFonts w:ascii="黑体" w:eastAsia="黑体" w:hAnsi="黑体" w:cs="宋体" w:hint="eastAsia"/>
          <w:color w:val="333333"/>
          <w:sz w:val="32"/>
          <w:szCs w:val="32"/>
        </w:rPr>
        <w:lastRenderedPageBreak/>
        <w:t>保障性安居工程：</w:t>
      </w:r>
      <w:r w:rsidRPr="00A541E4">
        <w:rPr>
          <w:rFonts w:ascii="仿宋_GB2312" w:eastAsia="仿宋_GB2312" w:hAnsi="Simsun" w:cs="宋体" w:hint="eastAsia"/>
          <w:color w:val="333333"/>
          <w:sz w:val="32"/>
          <w:szCs w:val="32"/>
        </w:rPr>
        <w:t>指政府在对城镇中低收入家庭和农村困难家庭实行分类保障过程中所提供的限定供应对象、住房标准、销售价格或租金标准，具有社会保障性质住房的建设和改造工程。保障性安居工程主要包括建设公共租赁住房、对低收入住房困难家庭发放货币补贴，建设经济适用房和限价商品住房，实施政府主导的城市棚户区改造，国有林区、垦区和工矿棚户区的改造，国有重点煤矿棚户区改造和农村危房改造。</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86FA9"/>
    <w:rsid w:val="00323B43"/>
    <w:rsid w:val="003D37D8"/>
    <w:rsid w:val="00426133"/>
    <w:rsid w:val="004358AB"/>
    <w:rsid w:val="00582750"/>
    <w:rsid w:val="008B7726"/>
    <w:rsid w:val="00A541E4"/>
    <w:rsid w:val="00AD524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41E4"/>
  </w:style>
  <w:style w:type="paragraph" w:customStyle="1" w:styleId="p">
    <w:name w:val="p"/>
    <w:basedOn w:val="a"/>
    <w:rsid w:val="00A541E4"/>
    <w:pPr>
      <w:adjustRightInd/>
      <w:snapToGrid/>
      <w:spacing w:before="100" w:beforeAutospacing="1" w:after="100" w:afterAutospacing="1"/>
    </w:pPr>
    <w:rPr>
      <w:rFonts w:ascii="宋体" w:eastAsia="宋体" w:hAnsi="宋体" w:cs="宋体"/>
      <w:sz w:val="24"/>
      <w:szCs w:val="24"/>
    </w:rPr>
  </w:style>
  <w:style w:type="character" w:styleId="a3">
    <w:name w:val="Hyperlink"/>
    <w:basedOn w:val="a0"/>
    <w:uiPriority w:val="99"/>
    <w:semiHidden/>
    <w:unhideWhenUsed/>
    <w:rsid w:val="00A541E4"/>
    <w:rPr>
      <w:color w:val="0000FF"/>
      <w:u w:val="single"/>
    </w:rPr>
  </w:style>
</w:styles>
</file>

<file path=word/webSettings.xml><?xml version="1.0" encoding="utf-8"?>
<w:webSettings xmlns:r="http://schemas.openxmlformats.org/officeDocument/2006/relationships" xmlns:w="http://schemas.openxmlformats.org/wordprocessingml/2006/main">
  <w:divs>
    <w:div w:id="1077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400673-5638267.html" TargetMode="External"/><Relationship Id="rId3" Type="http://schemas.openxmlformats.org/officeDocument/2006/relationships/webSettings" Target="webSettings.xml"/><Relationship Id="rId7" Type="http://schemas.openxmlformats.org/officeDocument/2006/relationships/hyperlink" Target="http://baike.so.com/doc/6364138-657777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4948998-5170278.html" TargetMode="External"/><Relationship Id="rId5" Type="http://schemas.openxmlformats.org/officeDocument/2006/relationships/hyperlink" Target="http://baike.so.com/doc/2316517-2450327.html" TargetMode="External"/><Relationship Id="rId10" Type="http://schemas.openxmlformats.org/officeDocument/2006/relationships/theme" Target="theme/theme1.xml"/><Relationship Id="rId4" Type="http://schemas.openxmlformats.org/officeDocument/2006/relationships/hyperlink" Target="http://baike.so.com/doc/5579479-5792849.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2008-09-11T17:20:00Z</dcterms:created>
  <dcterms:modified xsi:type="dcterms:W3CDTF">2018-04-11T02:59:00Z</dcterms:modified>
</cp:coreProperties>
</file>