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7"/>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夏县人民政府办公室</w:t>
      </w:r>
    </w:p>
    <w:p>
      <w:pPr>
        <w:pStyle w:val="7"/>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w:t>
      </w:r>
      <w:r>
        <w:rPr>
          <w:rFonts w:hint="eastAsia" w:ascii="方正小标宋简体" w:hAnsi="方正小标宋简体" w:eastAsia="方正小标宋简体" w:cs="方正小标宋简体"/>
          <w:color w:val="auto"/>
          <w:sz w:val="44"/>
          <w:szCs w:val="44"/>
        </w:rPr>
        <w:t>年政府信息公开工作</w:t>
      </w:r>
      <w:r>
        <w:rPr>
          <w:rFonts w:hint="eastAsia" w:ascii="方正小标宋简体" w:hAnsi="方正小标宋简体" w:eastAsia="方正小标宋简体" w:cs="方正小标宋简体"/>
          <w:color w:val="auto"/>
          <w:sz w:val="44"/>
          <w:szCs w:val="44"/>
          <w:lang w:eastAsia="zh-CN"/>
        </w:rPr>
        <w:t>年</w:t>
      </w:r>
      <w:r>
        <w:rPr>
          <w:rFonts w:hint="eastAsia" w:ascii="方正小标宋简体" w:hAnsi="方正小标宋简体" w:eastAsia="方正小标宋简体" w:cs="方正小标宋简体"/>
          <w:color w:val="auto"/>
          <w:sz w:val="44"/>
          <w:szCs w:val="44"/>
        </w:rPr>
        <w:t>度报告</w:t>
      </w:r>
    </w:p>
    <w:p>
      <w:pPr>
        <w:pStyle w:val="7"/>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color w:val="FF0000"/>
          <w:sz w:val="36"/>
          <w:szCs w:val="36"/>
        </w:rPr>
      </w:pP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根据《中华人民共和国政府信息公开条例》（国务院令第</w:t>
      </w:r>
      <w:r>
        <w:rPr>
          <w:rFonts w:hint="eastAsia" w:ascii="仿宋_GB2312" w:hAnsi="仿宋_GB2312" w:eastAsia="仿宋_GB2312" w:cs="仿宋_GB2312"/>
          <w:color w:val="auto"/>
          <w:sz w:val="32"/>
          <w:szCs w:val="32"/>
          <w:lang w:val="en-US" w:eastAsia="zh-CN"/>
        </w:rPr>
        <w:t>711</w:t>
      </w:r>
      <w:r>
        <w:rPr>
          <w:rFonts w:hint="eastAsia" w:ascii="仿宋_GB2312" w:hAnsi="仿宋_GB2312" w:eastAsia="仿宋_GB2312" w:cs="仿宋_GB2312"/>
          <w:color w:val="auto"/>
          <w:sz w:val="32"/>
          <w:szCs w:val="32"/>
        </w:rPr>
        <w:t>号，以下简称《条例》）和《国务院办公厅政府信息与政务公开办公室关于印发&lt;中华人民共和国政府信息公开工作年度报告格式&gt;的通知》（国办公开办函〔2021〕30号）要求</w:t>
      </w:r>
      <w:r>
        <w:rPr>
          <w:rFonts w:hint="eastAsia" w:ascii="仿宋_GB2312" w:hAnsi="仿宋_GB2312" w:eastAsia="仿宋_GB2312" w:cs="仿宋_GB2312"/>
          <w:color w:val="auto"/>
          <w:sz w:val="32"/>
          <w:szCs w:val="32"/>
          <w:lang w:val="en-US" w:eastAsia="zh-CN"/>
        </w:rPr>
        <w:t>,现公布夏县人民政府办公室2022年政府信息公开工作年度报告。</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包括总体情况、主动公开政府信息情况、收到和处理政府信息公开申请情况、政府信息公开行政复议</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行政诉讼情况、政府信息公开工作存在的主要问题</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改进情况、其他需要报告的事项</w:t>
      </w:r>
      <w:r>
        <w:rPr>
          <w:rFonts w:hint="eastAsia" w:ascii="仿宋_GB2312" w:hAnsi="仿宋_GB2312" w:eastAsia="仿宋_GB2312" w:cs="仿宋_GB2312"/>
          <w:color w:val="auto"/>
          <w:sz w:val="32"/>
          <w:szCs w:val="32"/>
          <w:lang w:eastAsia="zh-CN"/>
        </w:rPr>
        <w:t>六个部分</w:t>
      </w:r>
      <w:r>
        <w:rPr>
          <w:rFonts w:hint="eastAsia" w:ascii="仿宋_GB2312" w:hAnsi="仿宋_GB2312" w:eastAsia="仿宋_GB2312" w:cs="仿宋_GB2312"/>
          <w:color w:val="auto"/>
          <w:sz w:val="32"/>
          <w:szCs w:val="32"/>
        </w:rPr>
        <w:t>。报告中数据统计时限为202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年1月1日至</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2年</w:t>
      </w:r>
      <w:r>
        <w:rPr>
          <w:rFonts w:hint="eastAsia" w:ascii="仿宋_GB2312" w:hAnsi="仿宋_GB2312" w:eastAsia="仿宋_GB2312" w:cs="仿宋_GB2312"/>
          <w:color w:val="auto"/>
          <w:sz w:val="32"/>
          <w:szCs w:val="32"/>
        </w:rPr>
        <w:t>12月31日。</w:t>
      </w:r>
      <w:r>
        <w:rPr>
          <w:rFonts w:hint="eastAsia" w:ascii="仿宋_GB2312" w:hAnsi="仿宋_GB2312" w:eastAsia="仿宋_GB2312" w:cs="仿宋_GB2312"/>
          <w:color w:val="auto"/>
          <w:sz w:val="32"/>
          <w:szCs w:val="32"/>
          <w:lang w:eastAsia="zh-CN"/>
        </w:rPr>
        <w:t>本报告的电子版可在“夏县人民政府”（http://www.sxxiaxian.gov.cn/）门户网站下载。</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夏县人</w:t>
      </w:r>
      <w:r>
        <w:rPr>
          <w:rFonts w:hint="eastAsia" w:ascii="仿宋_GB2312" w:hAnsi="仿宋_GB2312" w:eastAsia="仿宋_GB2312" w:cs="仿宋_GB2312"/>
          <w:color w:val="auto"/>
          <w:sz w:val="32"/>
          <w:szCs w:val="32"/>
        </w:rPr>
        <w:t>民政府办公室坚持以习近平新时代中国特色社会主义思想为</w:t>
      </w:r>
      <w:r>
        <w:rPr>
          <w:rFonts w:hint="eastAsia" w:ascii="仿宋_GB2312" w:hAnsi="仿宋_GB2312" w:eastAsia="仿宋_GB2312" w:cs="仿宋_GB2312"/>
          <w:color w:val="auto"/>
          <w:sz w:val="32"/>
          <w:szCs w:val="32"/>
          <w:lang w:eastAsia="zh-CN"/>
        </w:rPr>
        <w:t>指导，深入学习党的二十大精神，严格贯彻执行《条例》和中央、省、市、县关于政务公开工作的部署要求，围绕“四个强县”和中心县城建设，健全完善政务公开制度，强化公开责任落实，规范公开平台建设，优化公开规范流程，以公开促落实、促规范、优服务，</w:t>
      </w:r>
      <w:r>
        <w:rPr>
          <w:rFonts w:hint="eastAsia" w:ascii="仿宋_GB2312" w:hAnsi="仿宋_GB2312" w:eastAsia="仿宋_GB2312" w:cs="仿宋_GB2312"/>
          <w:color w:val="auto"/>
          <w:sz w:val="32"/>
          <w:szCs w:val="32"/>
          <w:lang w:val="en-US" w:eastAsia="zh-CN"/>
        </w:rPr>
        <w:t>政府信息公开工作取得一系列新进展新成效，</w:t>
      </w:r>
      <w:r>
        <w:rPr>
          <w:rFonts w:hint="eastAsia" w:ascii="仿宋_GB2312" w:hAnsi="仿宋_GB2312" w:eastAsia="仿宋_GB2312" w:cs="仿宋_GB2312"/>
          <w:color w:val="auto"/>
          <w:sz w:val="32"/>
          <w:szCs w:val="32"/>
          <w:lang w:eastAsia="zh-CN"/>
        </w:rPr>
        <w:t>公开能力和水平进一步提升，有力推动了法治政府和服务型政府建设。</w:t>
      </w:r>
    </w:p>
    <w:p>
      <w:pPr>
        <w:keepNext w:val="0"/>
        <w:keepLines w:val="0"/>
        <w:pageBreakBefore w:val="0"/>
        <w:numPr>
          <w:ilvl w:val="0"/>
          <w:numId w:val="1"/>
        </w:numPr>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主动公开方面</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了公文公开属性认定制度，调整优化了发文流程。建立了文件属性动态调整机制，进一步扩大主动公开范围。</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夏县</w:t>
      </w:r>
      <w:r>
        <w:rPr>
          <w:rFonts w:hint="eastAsia" w:ascii="仿宋_GB2312" w:hAnsi="仿宋_GB2312" w:eastAsia="仿宋_GB2312" w:cs="仿宋_GB2312"/>
          <w:color w:val="auto"/>
          <w:sz w:val="32"/>
          <w:szCs w:val="32"/>
        </w:rPr>
        <w:t>人民政府门户网站</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发布信息</w:t>
      </w:r>
      <w:r>
        <w:rPr>
          <w:rFonts w:hint="eastAsia" w:ascii="仿宋_GB2312" w:hAnsi="仿宋_GB2312" w:eastAsia="仿宋_GB2312" w:cs="仿宋_GB2312"/>
          <w:color w:val="auto"/>
          <w:sz w:val="32"/>
          <w:szCs w:val="32"/>
          <w:lang w:val="en-US" w:eastAsia="zh-CN"/>
        </w:rPr>
        <w:t>4366</w:t>
      </w:r>
      <w:r>
        <w:rPr>
          <w:rFonts w:hint="eastAsia" w:ascii="仿宋_GB2312" w:hAnsi="仿宋_GB2312" w:eastAsia="仿宋_GB2312" w:cs="仿宋_GB2312"/>
          <w:color w:val="auto"/>
          <w:sz w:val="32"/>
          <w:szCs w:val="32"/>
        </w:rPr>
        <w:t>条，其中</w:t>
      </w:r>
      <w:r>
        <w:rPr>
          <w:rFonts w:hint="eastAsia" w:ascii="仿宋_GB2312" w:hAnsi="仿宋_GB2312" w:eastAsia="仿宋_GB2312" w:cs="仿宋_GB2312"/>
          <w:color w:val="auto"/>
          <w:sz w:val="32"/>
          <w:szCs w:val="32"/>
          <w:lang w:eastAsia="zh-CN"/>
        </w:rPr>
        <w:t>新闻中心</w:t>
      </w:r>
      <w:r>
        <w:rPr>
          <w:rFonts w:hint="eastAsia" w:ascii="仿宋_GB2312" w:hAnsi="仿宋_GB2312" w:eastAsia="仿宋_GB2312" w:cs="仿宋_GB2312"/>
          <w:color w:val="auto"/>
          <w:sz w:val="32"/>
          <w:szCs w:val="32"/>
          <w:lang w:val="en-US" w:eastAsia="zh-CN"/>
        </w:rPr>
        <w:t>1688条，政务公开1665条，专题专栏470条。全年共编发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夏县人民政府公报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4期，刊登</w:t>
      </w:r>
      <w:r>
        <w:rPr>
          <w:rFonts w:hint="eastAsia" w:ascii="仿宋_GB2312" w:hAnsi="仿宋_GB2312" w:eastAsia="仿宋_GB2312" w:cs="仿宋_GB2312"/>
          <w:color w:val="auto"/>
          <w:kern w:val="2"/>
          <w:sz w:val="32"/>
          <w:szCs w:val="32"/>
          <w:u w:val="none"/>
          <w:lang w:val="en-US" w:eastAsia="zh-CN" w:bidi="ar-SA"/>
        </w:rPr>
        <w:t>县政府工作报告1件</w:t>
      </w:r>
      <w:r>
        <w:rPr>
          <w:rFonts w:hint="eastAsia" w:ascii="仿宋_GB2312" w:hAnsi="仿宋_GB2312" w:eastAsia="仿宋_GB2312" w:cs="仿宋_GB2312"/>
          <w:color w:val="auto"/>
          <w:sz w:val="32"/>
          <w:szCs w:val="32"/>
          <w:lang w:val="en-US" w:eastAsia="zh-CN"/>
        </w:rPr>
        <w:t>，统计公报1期，重大会议信息公开13次，县政府文件8件，县政府办公室文件40件。</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（二）依申请公开</w:t>
      </w:r>
      <w:r>
        <w:rPr>
          <w:rFonts w:hint="eastAsia" w:ascii="楷体_GB2312" w:hAnsi="楷体_GB2312" w:eastAsia="楷体_GB2312" w:cs="楷体_GB2312"/>
          <w:b/>
          <w:bCs/>
          <w:color w:val="auto"/>
          <w:sz w:val="32"/>
          <w:szCs w:val="32"/>
        </w:rPr>
        <w:t>方面</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依法依规做好政府信息依申请公开工作，</w:t>
      </w:r>
      <w:r>
        <w:rPr>
          <w:rFonts w:hint="eastAsia" w:ascii="仿宋_GB2312" w:hAnsi="仿宋_GB2312" w:eastAsia="仿宋_GB2312" w:cs="仿宋_GB2312"/>
          <w:color w:val="auto"/>
          <w:sz w:val="32"/>
          <w:szCs w:val="32"/>
        </w:rPr>
        <w:t>严格按照登记、受理、补正、征求意见、提出办理意见、作出决定、报批、送达等依申请公开程序</w:t>
      </w:r>
      <w:r>
        <w:rPr>
          <w:rFonts w:hint="eastAsia" w:ascii="仿宋_GB2312" w:hAnsi="仿宋_GB2312" w:eastAsia="仿宋_GB2312" w:cs="仿宋_GB2312"/>
          <w:color w:val="auto"/>
          <w:sz w:val="32"/>
          <w:szCs w:val="32"/>
          <w:lang w:eastAsia="zh-CN"/>
        </w:rPr>
        <w:t>办理</w:t>
      </w:r>
      <w:r>
        <w:rPr>
          <w:rFonts w:hint="eastAsia" w:ascii="仿宋_GB2312" w:hAnsi="仿宋_GB2312" w:eastAsia="仿宋_GB2312" w:cs="仿宋_GB2312"/>
          <w:color w:val="auto"/>
          <w:sz w:val="32"/>
          <w:szCs w:val="32"/>
        </w:rPr>
        <w:t>，进一步规范了依申请公开工作，切实保障</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公民、法人和其他组织依法获取政府信息</w:t>
      </w:r>
      <w:r>
        <w:rPr>
          <w:rFonts w:hint="eastAsia" w:ascii="仿宋_GB2312" w:hAnsi="仿宋_GB2312" w:eastAsia="仿宋_GB2312" w:cs="仿宋_GB2312"/>
          <w:color w:val="auto"/>
          <w:sz w:val="32"/>
          <w:szCs w:val="32"/>
          <w:lang w:eastAsia="zh-CN"/>
        </w:rPr>
        <w:t>的权利，</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政府工作透明度。</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收到和办理依申请公开</w:t>
      </w:r>
      <w:r>
        <w:rPr>
          <w:rFonts w:hint="eastAsia" w:ascii="仿宋_GB2312" w:hAnsi="仿宋_GB2312" w:eastAsia="仿宋_GB2312" w:cs="仿宋_GB2312"/>
          <w:color w:val="auto"/>
          <w:sz w:val="32"/>
          <w:szCs w:val="32"/>
          <w:lang w:val="en-US" w:eastAsia="zh-CN"/>
        </w:rPr>
        <w:t>19件，均在法定期限内予以答复，</w:t>
      </w:r>
      <w:r>
        <w:rPr>
          <w:rFonts w:hint="eastAsia" w:ascii="仿宋_GB2312" w:hAnsi="仿宋_GB2312" w:eastAsia="仿宋_GB2312" w:cs="仿宋_GB2312"/>
          <w:color w:val="auto"/>
          <w:sz w:val="32"/>
          <w:szCs w:val="32"/>
          <w:lang w:eastAsia="zh-CN"/>
        </w:rPr>
        <w:t>转入下一年处理</w:t>
      </w:r>
      <w:r>
        <w:rPr>
          <w:rFonts w:hint="eastAsia" w:ascii="仿宋_GB2312" w:hAnsi="仿宋_GB2312" w:eastAsia="仿宋_GB2312" w:cs="仿宋_GB2312"/>
          <w:color w:val="auto"/>
          <w:sz w:val="32"/>
          <w:szCs w:val="32"/>
          <w:lang w:val="en-US" w:eastAsia="zh-CN"/>
        </w:rPr>
        <w:t>0件。</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政府信息管理方面</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下</w:t>
      </w:r>
      <w:r>
        <w:rPr>
          <w:rFonts w:hint="eastAsia" w:ascii="仿宋_GB2312" w:hAnsi="仿宋_GB2312" w:eastAsia="仿宋_GB2312" w:cs="仿宋_GB2312"/>
          <w:color w:val="auto"/>
          <w:sz w:val="32"/>
          <w:szCs w:val="32"/>
        </w:rPr>
        <w:t>发了《</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"http://www.sxxiaxian.gov.cn/doc/2021/09/26/10508357.shtml" \o "夏县人民政府办公室关于印发夏县2021年政务公开工作要点的通知" \t "http://www.sxxiaxian.gov.cn/zfxxgk/fdzdgknr/zfwj/xzfbgswj/_blank"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夏县人民政府办公室关于印发夏县202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年政务公开工作要点的通知</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及时调整了</w:t>
      </w:r>
      <w:r>
        <w:rPr>
          <w:rFonts w:hint="eastAsia" w:ascii="仿宋_GB2312" w:hAnsi="仿宋_GB2312" w:eastAsia="仿宋_GB2312" w:cs="仿宋_GB2312"/>
          <w:color w:val="auto"/>
          <w:sz w:val="32"/>
          <w:szCs w:val="32"/>
          <w:lang w:eastAsia="zh-CN"/>
        </w:rPr>
        <w:t>夏县</w:t>
      </w:r>
      <w:r>
        <w:rPr>
          <w:rFonts w:hint="eastAsia" w:ascii="仿宋_GB2312" w:hAnsi="仿宋_GB2312" w:eastAsia="仿宋_GB2312" w:cs="仿宋_GB2312"/>
          <w:color w:val="auto"/>
          <w:sz w:val="32"/>
          <w:szCs w:val="32"/>
        </w:rPr>
        <w:t>政务公开领导</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eastAsia="zh-CN"/>
        </w:rPr>
        <w:t>成员。</w:t>
      </w:r>
      <w:r>
        <w:rPr>
          <w:rFonts w:hint="eastAsia" w:ascii="仿宋_GB2312" w:hAnsi="仿宋_GB2312" w:eastAsia="仿宋_GB2312" w:cs="仿宋_GB2312"/>
          <w:color w:val="auto"/>
          <w:sz w:val="32"/>
          <w:szCs w:val="32"/>
        </w:rPr>
        <w:t>召开了</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政务公开</w:t>
      </w:r>
      <w:r>
        <w:rPr>
          <w:rFonts w:hint="eastAsia" w:ascii="仿宋_GB2312" w:hAnsi="仿宋_GB2312" w:eastAsia="仿宋_GB2312" w:cs="仿宋_GB2312"/>
          <w:color w:val="auto"/>
          <w:sz w:val="32"/>
          <w:szCs w:val="32"/>
          <w:lang w:eastAsia="zh-CN"/>
        </w:rPr>
        <w:t>领导小组专题会议</w:t>
      </w:r>
      <w:r>
        <w:rPr>
          <w:rFonts w:hint="eastAsia" w:ascii="仿宋_GB2312" w:hAnsi="仿宋_GB2312" w:eastAsia="仿宋_GB2312" w:cs="仿宋_GB2312"/>
          <w:color w:val="auto"/>
          <w:sz w:val="32"/>
          <w:szCs w:val="32"/>
          <w:lang w:val="en-US" w:eastAsia="zh-CN"/>
        </w:rPr>
        <w:t>4次，形成会议纪要4件，召开网络安全专题学习培训</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eastAsia="zh-CN"/>
        </w:rPr>
        <w:t>全面提升了我县政务公开工作能力和水平。</w:t>
      </w:r>
      <w:r>
        <w:rPr>
          <w:rFonts w:hint="eastAsia" w:ascii="仿宋_GB2312" w:hAnsi="仿宋_GB2312" w:eastAsia="仿宋_GB2312" w:cs="仿宋_GB2312"/>
          <w:color w:val="auto"/>
          <w:sz w:val="32"/>
          <w:szCs w:val="32"/>
        </w:rPr>
        <w:t>同时，进一步做好政府信息公开保密审查工作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按照“谁起草、谁解读”原则，</w:t>
      </w:r>
      <w:r>
        <w:rPr>
          <w:rFonts w:hint="eastAsia" w:ascii="仿宋_GB2312" w:hAnsi="仿宋_GB2312" w:eastAsia="仿宋_GB2312" w:cs="仿宋_GB2312"/>
          <w:color w:val="auto"/>
          <w:sz w:val="32"/>
          <w:szCs w:val="32"/>
          <w:lang w:eastAsia="zh-CN"/>
        </w:rPr>
        <w:t>加大</w:t>
      </w:r>
      <w:r>
        <w:rPr>
          <w:rFonts w:hint="eastAsia" w:ascii="仿宋_GB2312" w:hAnsi="仿宋_GB2312" w:eastAsia="仿宋_GB2312" w:cs="仿宋_GB2312"/>
          <w:color w:val="auto"/>
          <w:sz w:val="32"/>
          <w:szCs w:val="32"/>
        </w:rPr>
        <w:t>政策</w:t>
      </w:r>
      <w:r>
        <w:rPr>
          <w:rFonts w:hint="eastAsia" w:ascii="仿宋_GB2312" w:hAnsi="仿宋_GB2312" w:eastAsia="仿宋_GB2312" w:cs="仿宋_GB2312"/>
          <w:color w:val="auto"/>
          <w:sz w:val="32"/>
          <w:szCs w:val="32"/>
          <w:lang w:eastAsia="zh-CN"/>
        </w:rPr>
        <w:t>多样化</w:t>
      </w:r>
      <w:r>
        <w:rPr>
          <w:rFonts w:hint="eastAsia" w:ascii="仿宋_GB2312" w:hAnsi="仿宋_GB2312" w:eastAsia="仿宋_GB2312" w:cs="仿宋_GB2312"/>
          <w:color w:val="auto"/>
          <w:sz w:val="32"/>
          <w:szCs w:val="32"/>
        </w:rPr>
        <w:t>解读</w:t>
      </w:r>
      <w:r>
        <w:rPr>
          <w:rFonts w:hint="eastAsia" w:ascii="仿宋_GB2312" w:hAnsi="仿宋_GB2312" w:eastAsia="仿宋_GB2312" w:cs="仿宋_GB2312"/>
          <w:color w:val="auto"/>
          <w:sz w:val="32"/>
          <w:szCs w:val="32"/>
          <w:lang w:eastAsia="zh-CN"/>
        </w:rPr>
        <w:t>力度</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年共解读</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lang w:val="en-US" w:eastAsia="zh-CN"/>
        </w:rPr>
        <w:t>7件，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政府办公室文件</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多样化</w:t>
      </w:r>
      <w:r>
        <w:rPr>
          <w:rFonts w:hint="eastAsia" w:ascii="仿宋_GB2312" w:hAnsi="仿宋_GB2312" w:eastAsia="仿宋_GB2312" w:cs="仿宋_GB2312"/>
          <w:color w:val="auto"/>
          <w:sz w:val="32"/>
          <w:szCs w:val="32"/>
        </w:rPr>
        <w:t>解读率达到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全年办理回复领导信箱</w:t>
      </w:r>
      <w:r>
        <w:rPr>
          <w:rFonts w:hint="eastAsia" w:ascii="仿宋_GB2312" w:hAnsi="仿宋_GB2312" w:eastAsia="仿宋_GB2312" w:cs="仿宋_GB2312"/>
          <w:color w:val="auto"/>
          <w:sz w:val="32"/>
          <w:szCs w:val="32"/>
          <w:lang w:val="en-US" w:eastAsia="zh-CN"/>
        </w:rPr>
        <w:t>94件，其中</w:t>
      </w:r>
      <w:r>
        <w:rPr>
          <w:rFonts w:hint="eastAsia" w:ascii="仿宋_GB2312" w:hAnsi="仿宋_GB2312" w:eastAsia="仿宋_GB2312" w:cs="仿宋_GB2312"/>
          <w:color w:val="auto"/>
          <w:sz w:val="32"/>
          <w:szCs w:val="32"/>
          <w:lang w:eastAsia="zh-CN"/>
        </w:rPr>
        <w:t>书记信箱</w:t>
      </w:r>
      <w:r>
        <w:rPr>
          <w:rFonts w:hint="eastAsia" w:ascii="仿宋_GB2312" w:hAnsi="仿宋_GB2312" w:eastAsia="仿宋_GB2312" w:cs="仿宋_GB2312"/>
          <w:color w:val="auto"/>
          <w:sz w:val="32"/>
          <w:szCs w:val="32"/>
          <w:lang w:val="en-US" w:eastAsia="zh-CN"/>
        </w:rPr>
        <w:t>18件</w:t>
      </w:r>
      <w:r>
        <w:rPr>
          <w:rFonts w:hint="eastAsia" w:ascii="仿宋_GB2312" w:hAnsi="仿宋_GB2312" w:eastAsia="仿宋_GB2312" w:cs="仿宋_GB2312"/>
          <w:color w:val="auto"/>
          <w:sz w:val="32"/>
          <w:szCs w:val="32"/>
          <w:lang w:eastAsia="zh-CN"/>
        </w:rPr>
        <w:t>、县长</w:t>
      </w:r>
      <w:r>
        <w:rPr>
          <w:rFonts w:hint="eastAsia" w:ascii="仿宋_GB2312" w:hAnsi="仿宋_GB2312" w:eastAsia="仿宋_GB2312" w:cs="仿宋_GB2312"/>
          <w:color w:val="auto"/>
          <w:sz w:val="32"/>
          <w:szCs w:val="32"/>
        </w:rPr>
        <w:t>信箱</w:t>
      </w:r>
      <w:r>
        <w:rPr>
          <w:rFonts w:hint="eastAsia" w:ascii="仿宋_GB2312" w:hAnsi="仿宋_GB2312" w:eastAsia="仿宋_GB2312" w:cs="仿宋_GB2312"/>
          <w:color w:val="auto"/>
          <w:sz w:val="32"/>
          <w:szCs w:val="32"/>
          <w:lang w:val="en-US" w:eastAsia="zh-CN"/>
        </w:rPr>
        <w:t>76件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办理答复率达</w:t>
      </w:r>
      <w:r>
        <w:rPr>
          <w:rFonts w:hint="eastAsia" w:ascii="仿宋_GB2312" w:hAnsi="仿宋_GB2312" w:eastAsia="仿宋_GB2312" w:cs="仿宋_GB2312"/>
          <w:color w:val="auto"/>
          <w:sz w:val="32"/>
          <w:szCs w:val="32"/>
          <w:lang w:val="en-US" w:eastAsia="zh-CN"/>
        </w:rPr>
        <w:t>100%，群众</w:t>
      </w:r>
      <w:r>
        <w:rPr>
          <w:rFonts w:hint="eastAsia" w:ascii="仿宋_GB2312" w:hAnsi="仿宋_GB2312" w:eastAsia="仿宋_GB2312" w:cs="仿宋_GB2312"/>
          <w:color w:val="auto"/>
          <w:sz w:val="32"/>
          <w:szCs w:val="32"/>
        </w:rPr>
        <w:t>满意度不断提升。</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leftChars="200" w:firstLine="321" w:firstLineChars="1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平台建设方面</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优化调整</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政府门户网站版块栏目、公开目录，新开设</w:t>
      </w:r>
      <w:r>
        <w:rPr>
          <w:rFonts w:hint="eastAsia" w:ascii="仿宋_GB2312" w:hAnsi="仿宋_GB2312" w:eastAsia="仿宋_GB2312" w:cs="仿宋_GB2312"/>
          <w:color w:val="auto"/>
          <w:sz w:val="32"/>
          <w:szCs w:val="32"/>
          <w:lang w:eastAsia="zh-CN"/>
        </w:rPr>
        <w:t>专题专栏</w:t>
      </w:r>
      <w:r>
        <w:rPr>
          <w:rFonts w:hint="eastAsia" w:ascii="仿宋_GB2312" w:hAnsi="仿宋_GB2312" w:eastAsia="仿宋_GB2312" w:cs="仿宋_GB2312"/>
          <w:color w:val="auto"/>
          <w:sz w:val="32"/>
          <w:szCs w:val="32"/>
        </w:rPr>
        <w:t>4个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及时更新栏目内容和公开事项</w:t>
      </w:r>
      <w:r>
        <w:rPr>
          <w:rFonts w:hint="eastAsia" w:ascii="仿宋_GB2312" w:hAnsi="仿宋_GB2312" w:eastAsia="仿宋_GB2312" w:cs="仿宋_GB2312"/>
          <w:color w:val="auto"/>
          <w:sz w:val="32"/>
          <w:szCs w:val="32"/>
          <w:lang w:eastAsia="zh-CN"/>
        </w:rPr>
        <w:t>，发布政府信息公开工作年度报告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shd w:val="clear" w:color="auto" w:fill="auto"/>
          <w:lang w:eastAsia="zh-CN"/>
        </w:rPr>
        <w:t>二是</w:t>
      </w:r>
      <w:r>
        <w:rPr>
          <w:rFonts w:hint="eastAsia" w:ascii="仿宋_GB2312" w:hAnsi="仿宋_GB2312" w:eastAsia="仿宋_GB2312" w:cs="仿宋_GB2312"/>
          <w:b w:val="0"/>
          <w:bCs w:val="0"/>
          <w:color w:val="auto"/>
          <w:sz w:val="32"/>
          <w:szCs w:val="32"/>
          <w:shd w:val="clear" w:color="auto" w:fill="auto"/>
          <w:lang w:eastAsia="zh-CN"/>
        </w:rPr>
        <w:t>充分利用政务公开专区，进一步畅通政府信息查询渠道，不断提升群众政务信息查询体验；</w:t>
      </w:r>
      <w:r>
        <w:rPr>
          <w:rFonts w:hint="eastAsia" w:ascii="仿宋_GB2312" w:hAnsi="仿宋_GB2312" w:eastAsia="仿宋_GB2312" w:cs="仿宋_GB2312"/>
          <w:b/>
          <w:bCs/>
          <w:color w:val="auto"/>
          <w:sz w:val="32"/>
          <w:szCs w:val="32"/>
          <w:shd w:val="clear" w:color="auto" w:fill="auto"/>
          <w:lang w:eastAsia="zh-CN"/>
        </w:rPr>
        <w:t>三是</w:t>
      </w:r>
      <w:r>
        <w:rPr>
          <w:rFonts w:hint="eastAsia" w:ascii="仿宋_GB2312" w:hAnsi="仿宋_GB2312" w:eastAsia="仿宋_GB2312" w:cs="仿宋_GB2312"/>
          <w:color w:val="auto"/>
          <w:sz w:val="32"/>
          <w:szCs w:val="32"/>
        </w:rPr>
        <w:t>不断加强政府门户网站监管，</w:t>
      </w:r>
      <w:r>
        <w:rPr>
          <w:rFonts w:hint="eastAsia" w:ascii="仿宋_GB2312" w:hAnsi="仿宋_GB2312" w:eastAsia="仿宋_GB2312" w:cs="仿宋_GB2312"/>
          <w:b w:val="0"/>
          <w:bCs w:val="0"/>
          <w:color w:val="auto"/>
          <w:sz w:val="32"/>
          <w:szCs w:val="32"/>
          <w:lang w:eastAsia="zh-CN"/>
        </w:rPr>
        <w:t>加大日常工作读网力度，</w:t>
      </w:r>
      <w:bookmarkStart w:id="0" w:name="_GoBack"/>
      <w:bookmarkEnd w:id="0"/>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color w:val="auto"/>
          <w:sz w:val="32"/>
          <w:szCs w:val="32"/>
        </w:rPr>
        <w:t>栏目不更新、互动回应不及时</w:t>
      </w:r>
      <w:r>
        <w:rPr>
          <w:rFonts w:hint="eastAsia" w:ascii="仿宋_GB2312" w:hAnsi="仿宋_GB2312" w:eastAsia="仿宋_GB2312" w:cs="仿宋_GB2312"/>
          <w:color w:val="auto"/>
          <w:sz w:val="32"/>
          <w:szCs w:val="32"/>
          <w:lang w:eastAsia="zh-CN"/>
        </w:rPr>
        <w:t>、“错字错链”等问题</w:t>
      </w:r>
      <w:r>
        <w:rPr>
          <w:rFonts w:hint="eastAsia" w:ascii="仿宋_GB2312" w:hAnsi="仿宋_GB2312" w:eastAsia="仿宋_GB2312" w:cs="仿宋_GB2312"/>
          <w:color w:val="auto"/>
          <w:sz w:val="32"/>
          <w:szCs w:val="32"/>
        </w:rPr>
        <w:t>进行通报整改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确保政府网站安全、稳定运行。</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eastAsia="zh-CN"/>
        </w:rPr>
        <w:t>严格规范政务新媒体的开设、维护、关停等管理环节，加强日常监督管理，确保信息更新及时、内容准确无误、服务便捷高效，</w:t>
      </w: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eastAsia="zh-CN"/>
        </w:rPr>
        <w:t>全县共保留</w:t>
      </w:r>
      <w:r>
        <w:rPr>
          <w:rFonts w:hint="eastAsia" w:ascii="仿宋_GB2312" w:hAnsi="仿宋_GB2312" w:eastAsia="仿宋_GB2312" w:cs="仿宋_GB2312"/>
          <w:color w:val="auto"/>
          <w:sz w:val="32"/>
          <w:szCs w:val="32"/>
        </w:rPr>
        <w:t>政务新媒体</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，均运行良好。</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leftChars="200" w:firstLine="321" w:firstLineChars="1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监督保障方面</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将政务公开工作纳入</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进一步强化</w:t>
      </w:r>
      <w:r>
        <w:rPr>
          <w:rFonts w:hint="eastAsia" w:ascii="仿宋_GB2312" w:hAnsi="仿宋_GB2312" w:eastAsia="仿宋_GB2312" w:cs="仿宋_GB2312"/>
          <w:color w:val="auto"/>
          <w:sz w:val="32"/>
          <w:szCs w:val="32"/>
          <w:lang w:eastAsia="zh-CN"/>
        </w:rPr>
        <w:t>工作监督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政务公开领导</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组不定期围绕政务公开重点工作开展</w:t>
      </w:r>
      <w:r>
        <w:rPr>
          <w:rFonts w:hint="eastAsia" w:ascii="仿宋_GB2312" w:hAnsi="仿宋_GB2312" w:eastAsia="仿宋_GB2312" w:cs="仿宋_GB2312"/>
          <w:color w:val="auto"/>
          <w:sz w:val="32"/>
          <w:szCs w:val="32"/>
          <w:lang w:eastAsia="zh-CN"/>
        </w:rPr>
        <w:t>检查、督促、指导，</w:t>
      </w:r>
      <w:r>
        <w:rPr>
          <w:rFonts w:hint="eastAsia" w:ascii="仿宋_GB2312" w:hAnsi="仿宋_GB2312" w:eastAsia="仿宋_GB2312" w:cs="仿宋_GB2312"/>
          <w:color w:val="auto"/>
          <w:sz w:val="32"/>
          <w:szCs w:val="32"/>
        </w:rPr>
        <w:t>建立完善</w:t>
      </w:r>
      <w:r>
        <w:rPr>
          <w:rFonts w:hint="eastAsia" w:ascii="仿宋_GB2312" w:hAnsi="仿宋_GB2312" w:eastAsia="仿宋_GB2312" w:cs="仿宋_GB2312"/>
          <w:color w:val="auto"/>
          <w:sz w:val="32"/>
          <w:szCs w:val="32"/>
          <w:lang w:eastAsia="zh-CN"/>
        </w:rPr>
        <w:t>季</w:t>
      </w:r>
      <w:r>
        <w:rPr>
          <w:rFonts w:hint="eastAsia" w:ascii="仿宋_GB2312" w:hAnsi="仿宋_GB2312" w:eastAsia="仿宋_GB2312" w:cs="仿宋_GB2312"/>
          <w:color w:val="auto"/>
          <w:sz w:val="32"/>
          <w:szCs w:val="32"/>
        </w:rPr>
        <w:t>通报制度，对各单位的</w:t>
      </w:r>
      <w:r>
        <w:rPr>
          <w:rFonts w:hint="eastAsia" w:ascii="仿宋_GB2312" w:hAnsi="仿宋_GB2312" w:eastAsia="仿宋_GB2312" w:cs="仿宋_GB2312"/>
          <w:color w:val="auto"/>
          <w:sz w:val="32"/>
          <w:szCs w:val="32"/>
          <w:lang w:eastAsia="zh-CN"/>
        </w:rPr>
        <w:t>日常</w:t>
      </w:r>
      <w:r>
        <w:rPr>
          <w:rFonts w:hint="eastAsia" w:ascii="仿宋_GB2312" w:hAnsi="仿宋_GB2312" w:eastAsia="仿宋_GB2312" w:cs="仿宋_GB2312"/>
          <w:color w:val="auto"/>
          <w:sz w:val="32"/>
          <w:szCs w:val="32"/>
        </w:rPr>
        <w:t>信息发布、重点领域和</w:t>
      </w:r>
      <w:r>
        <w:rPr>
          <w:rFonts w:hint="eastAsia" w:ascii="仿宋_GB2312" w:hAnsi="仿宋_GB2312" w:eastAsia="仿宋_GB2312" w:cs="仿宋_GB2312"/>
          <w:color w:val="auto"/>
          <w:sz w:val="32"/>
          <w:szCs w:val="32"/>
          <w:lang w:eastAsia="zh-CN"/>
        </w:rPr>
        <w:t>试点领域政务公开工作执行情况，特别是对涉及公众利益和需要公众广泛知晓或参与决策的政府信息公开情况及时通过电话、微信提醒，加大监督检查，</w:t>
      </w:r>
      <w:r>
        <w:rPr>
          <w:rFonts w:hint="eastAsia" w:ascii="仿宋_GB2312" w:hAnsi="仿宋_GB2312" w:eastAsia="仿宋_GB2312" w:cs="仿宋_GB2312"/>
          <w:color w:val="auto"/>
          <w:sz w:val="32"/>
          <w:szCs w:val="32"/>
        </w:rPr>
        <w:t>对问题多、整改不力的单位给予</w:t>
      </w:r>
      <w:r>
        <w:rPr>
          <w:rFonts w:hint="eastAsia" w:ascii="仿宋_GB2312" w:hAnsi="仿宋_GB2312" w:eastAsia="仿宋_GB2312" w:cs="仿宋_GB2312"/>
          <w:color w:val="auto"/>
          <w:sz w:val="32"/>
          <w:szCs w:val="32"/>
          <w:lang w:eastAsia="zh-CN"/>
        </w:rPr>
        <w:t>通报</w:t>
      </w:r>
      <w:r>
        <w:rPr>
          <w:rFonts w:hint="eastAsia" w:ascii="仿宋_GB2312" w:hAnsi="仿宋_GB2312" w:eastAsia="仿宋_GB2312" w:cs="仿宋_GB2312"/>
          <w:color w:val="auto"/>
          <w:sz w:val="32"/>
          <w:szCs w:val="32"/>
        </w:rPr>
        <w:t>批评。</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二、主动公开</w:t>
      </w:r>
      <w:r>
        <w:rPr>
          <w:rFonts w:hint="eastAsia" w:ascii="黑体" w:hAnsi="黑体" w:eastAsia="黑体" w:cs="黑体"/>
          <w:color w:val="auto"/>
          <w:sz w:val="32"/>
          <w:szCs w:val="32"/>
          <w:lang w:eastAsia="zh-CN"/>
        </w:rPr>
        <w:t>政府</w:t>
      </w:r>
      <w:r>
        <w:rPr>
          <w:rFonts w:hint="eastAsia" w:ascii="黑体" w:hAnsi="黑体" w:eastAsia="黑体" w:cs="黑体"/>
          <w:color w:val="auto"/>
          <w:sz w:val="32"/>
          <w:szCs w:val="32"/>
        </w:rPr>
        <w:t>信息情况</w:t>
      </w:r>
    </w:p>
    <w:tbl>
      <w:tblPr>
        <w:tblStyle w:val="8"/>
        <w:tblW w:w="9060" w:type="dxa"/>
        <w:jc w:val="center"/>
        <w:tblLayout w:type="fixed"/>
        <w:tblCellMar>
          <w:top w:w="0" w:type="dxa"/>
          <w:left w:w="0" w:type="dxa"/>
          <w:bottom w:w="0" w:type="dxa"/>
          <w:right w:w="0" w:type="dxa"/>
        </w:tblCellMar>
      </w:tblPr>
      <w:tblGrid>
        <w:gridCol w:w="2677"/>
        <w:gridCol w:w="2875"/>
        <w:gridCol w:w="1414"/>
        <w:gridCol w:w="2094"/>
      </w:tblGrid>
      <w:tr>
        <w:tblPrEx>
          <w:tblCellMar>
            <w:top w:w="0" w:type="dxa"/>
            <w:left w:w="0" w:type="dxa"/>
            <w:bottom w:w="0" w:type="dxa"/>
            <w:right w:w="0" w:type="dxa"/>
          </w:tblCellMar>
        </w:tblPrEx>
        <w:trPr>
          <w:trHeight w:val="90" w:hRule="atLeast"/>
          <w:jc w:val="center"/>
        </w:trPr>
        <w:tc>
          <w:tcPr>
            <w:tcW w:w="906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90"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信息内容</w:t>
            </w:r>
          </w:p>
        </w:tc>
        <w:tc>
          <w:tcPr>
            <w:tcW w:w="2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eastAsia="宋体"/>
                <w:color w:val="auto"/>
                <w:lang w:eastAsia="zh-CN"/>
              </w:rPr>
            </w:pPr>
            <w:r>
              <w:rPr>
                <w:rFonts w:hint="eastAsia" w:ascii="宋体" w:hAnsi="宋体" w:eastAsia="宋体" w:cs="宋体"/>
                <w:color w:val="auto"/>
                <w:kern w:val="0"/>
                <w:sz w:val="20"/>
                <w:szCs w:val="20"/>
              </w:rPr>
              <w:t>本年</w:t>
            </w:r>
            <w:r>
              <w:rPr>
                <w:rFonts w:hint="eastAsia" w:ascii="宋体" w:hAnsi="宋体" w:eastAsia="宋体" w:cs="宋体"/>
                <w:color w:val="auto"/>
                <w:kern w:val="0"/>
                <w:sz w:val="20"/>
                <w:szCs w:val="20"/>
              </w:rPr>
              <w:br w:type="textWrapping"/>
            </w:r>
            <w:r>
              <w:rPr>
                <w:rFonts w:ascii="Calibri" w:hAnsi="Calibri" w:eastAsia="宋体" w:cs="Times New Roman"/>
                <w:color w:val="auto"/>
                <w:kern w:val="0"/>
                <w:sz w:val="20"/>
                <w:szCs w:val="20"/>
              </w:rPr>
              <w:t>制作</w:t>
            </w:r>
            <w:r>
              <w:rPr>
                <w:rFonts w:hint="eastAsia" w:ascii="Calibri" w:hAnsi="Calibri" w:eastAsia="宋体" w:cs="Times New Roman"/>
                <w:color w:val="auto"/>
                <w:kern w:val="0"/>
                <w:sz w:val="20"/>
                <w:szCs w:val="20"/>
                <w:lang w:eastAsia="zh-CN"/>
              </w:rPr>
              <w:t>件数</w:t>
            </w:r>
          </w:p>
        </w:tc>
        <w:tc>
          <w:tcPr>
            <w:tcW w:w="14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eastAsia="宋体" w:cs="宋体"/>
                <w:color w:val="auto"/>
                <w:kern w:val="0"/>
                <w:sz w:val="20"/>
                <w:szCs w:val="20"/>
                <w:lang w:eastAsia="zh-CN"/>
              </w:rPr>
              <w:t>废止</w:t>
            </w:r>
          </w:p>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ascii="Calibri" w:hAnsi="Calibri" w:eastAsia="宋体" w:cs="Times New Roman"/>
                <w:color w:val="auto"/>
                <w:kern w:val="0"/>
                <w:sz w:val="20"/>
                <w:szCs w:val="20"/>
              </w:rPr>
              <w:t>数量</w:t>
            </w:r>
          </w:p>
        </w:tc>
        <w:tc>
          <w:tcPr>
            <w:tcW w:w="209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eastAsiaTheme="minorEastAsia"/>
                <w:color w:val="auto"/>
                <w:lang w:eastAsia="zh-CN"/>
              </w:rPr>
            </w:pPr>
            <w:r>
              <w:rPr>
                <w:rFonts w:hint="eastAsia" w:ascii="宋体" w:hAnsi="宋体" w:eastAsia="宋体" w:cs="宋体"/>
                <w:color w:val="auto"/>
                <w:kern w:val="0"/>
                <w:sz w:val="20"/>
                <w:szCs w:val="20"/>
                <w:lang w:eastAsia="zh-CN"/>
              </w:rPr>
              <w:t>现行有效件数</w:t>
            </w:r>
          </w:p>
        </w:tc>
      </w:tr>
      <w:tr>
        <w:tblPrEx>
          <w:tblCellMar>
            <w:top w:w="0" w:type="dxa"/>
            <w:left w:w="0" w:type="dxa"/>
            <w:bottom w:w="0" w:type="dxa"/>
            <w:right w:w="0" w:type="dxa"/>
          </w:tblCellMar>
        </w:tblPrEx>
        <w:trPr>
          <w:trHeight w:val="637"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left"/>
              <w:textAlignment w:val="auto"/>
              <w:rPr>
                <w:color w:val="auto"/>
              </w:rPr>
            </w:pPr>
            <w:r>
              <w:rPr>
                <w:rFonts w:hint="eastAsia" w:ascii="宋体" w:hAnsi="宋体" w:eastAsia="宋体" w:cs="宋体"/>
                <w:color w:val="auto"/>
                <w:kern w:val="0"/>
                <w:sz w:val="20"/>
                <w:szCs w:val="20"/>
              </w:rPr>
              <w:t>规章</w:t>
            </w:r>
          </w:p>
        </w:tc>
        <w:tc>
          <w:tcPr>
            <w:tcW w:w="2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0</w:t>
            </w:r>
          </w:p>
        </w:tc>
        <w:tc>
          <w:tcPr>
            <w:tcW w:w="14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0</w:t>
            </w:r>
          </w:p>
        </w:tc>
        <w:tc>
          <w:tcPr>
            <w:tcW w:w="209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0</w:t>
            </w:r>
          </w:p>
        </w:tc>
      </w:tr>
      <w:tr>
        <w:tblPrEx>
          <w:tblCellMar>
            <w:top w:w="0" w:type="dxa"/>
            <w:left w:w="0" w:type="dxa"/>
            <w:bottom w:w="0" w:type="dxa"/>
            <w:right w:w="0" w:type="dxa"/>
          </w:tblCellMar>
        </w:tblPrEx>
        <w:trPr>
          <w:trHeight w:val="471"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left"/>
              <w:textAlignment w:val="auto"/>
              <w:rPr>
                <w:color w:val="auto"/>
              </w:rPr>
            </w:pPr>
            <w:r>
              <w:rPr>
                <w:rFonts w:hint="eastAsia" w:ascii="宋体" w:hAnsi="宋体" w:eastAsia="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2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1</w:t>
            </w:r>
          </w:p>
        </w:tc>
        <w:tc>
          <w:tcPr>
            <w:tcW w:w="14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0</w:t>
            </w:r>
          </w:p>
        </w:tc>
        <w:tc>
          <w:tcPr>
            <w:tcW w:w="209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25</w:t>
            </w:r>
          </w:p>
        </w:tc>
      </w:tr>
      <w:tr>
        <w:tblPrEx>
          <w:tblCellMar>
            <w:top w:w="0" w:type="dxa"/>
            <w:left w:w="0" w:type="dxa"/>
            <w:bottom w:w="0" w:type="dxa"/>
            <w:right w:w="0" w:type="dxa"/>
          </w:tblCellMar>
        </w:tblPrEx>
        <w:trPr>
          <w:trHeight w:val="480" w:hRule="atLeast"/>
          <w:jc w:val="center"/>
        </w:trPr>
        <w:tc>
          <w:tcPr>
            <w:tcW w:w="906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619"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信息内容</w:t>
            </w:r>
          </w:p>
        </w:tc>
        <w:tc>
          <w:tcPr>
            <w:tcW w:w="6383" w:type="dxa"/>
            <w:gridSpan w:val="3"/>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528"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left"/>
              <w:textAlignment w:val="auto"/>
              <w:rPr>
                <w:color w:val="auto"/>
              </w:rPr>
            </w:pPr>
            <w:r>
              <w:rPr>
                <w:rFonts w:hint="eastAsia" w:ascii="宋体" w:hAnsi="宋体" w:eastAsia="宋体" w:cs="宋体"/>
                <w:color w:val="auto"/>
                <w:kern w:val="0"/>
                <w:sz w:val="20"/>
                <w:szCs w:val="20"/>
              </w:rPr>
              <w:t>行政许可</w:t>
            </w:r>
          </w:p>
        </w:tc>
        <w:tc>
          <w:tcPr>
            <w:tcW w:w="6383" w:type="dxa"/>
            <w:gridSpan w:val="3"/>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0</w:t>
            </w:r>
          </w:p>
        </w:tc>
      </w:tr>
      <w:tr>
        <w:tblPrEx>
          <w:tblCellMar>
            <w:top w:w="0" w:type="dxa"/>
            <w:left w:w="0" w:type="dxa"/>
            <w:bottom w:w="0" w:type="dxa"/>
            <w:right w:w="0" w:type="dxa"/>
          </w:tblCellMar>
        </w:tblPrEx>
        <w:trPr>
          <w:trHeight w:val="406" w:hRule="atLeast"/>
          <w:jc w:val="center"/>
        </w:trPr>
        <w:tc>
          <w:tcPr>
            <w:tcW w:w="906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454"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信息内容</w:t>
            </w:r>
          </w:p>
        </w:tc>
        <w:tc>
          <w:tcPr>
            <w:tcW w:w="6383" w:type="dxa"/>
            <w:gridSpan w:val="3"/>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554"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left"/>
              <w:textAlignment w:val="auto"/>
              <w:rPr>
                <w:color w:val="auto"/>
              </w:rPr>
            </w:pPr>
            <w:r>
              <w:rPr>
                <w:rFonts w:hint="eastAsia" w:ascii="宋体" w:hAnsi="宋体" w:eastAsia="宋体" w:cs="宋体"/>
                <w:color w:val="auto"/>
                <w:kern w:val="0"/>
                <w:sz w:val="20"/>
                <w:szCs w:val="20"/>
              </w:rPr>
              <w:t>行政处罚</w:t>
            </w:r>
          </w:p>
        </w:tc>
        <w:tc>
          <w:tcPr>
            <w:tcW w:w="6383" w:type="dxa"/>
            <w:gridSpan w:val="3"/>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left"/>
              <w:textAlignment w:val="auto"/>
              <w:rPr>
                <w:color w:val="auto"/>
              </w:rPr>
            </w:pPr>
            <w:r>
              <w:rPr>
                <w:rFonts w:hint="eastAsia" w:ascii="宋体" w:hAnsi="宋体" w:eastAsia="宋体" w:cs="宋体"/>
                <w:color w:val="auto"/>
                <w:kern w:val="0"/>
                <w:sz w:val="20"/>
                <w:szCs w:val="20"/>
              </w:rPr>
              <w:t>行政强制</w:t>
            </w:r>
          </w:p>
        </w:tc>
        <w:tc>
          <w:tcPr>
            <w:tcW w:w="6383" w:type="dxa"/>
            <w:gridSpan w:val="3"/>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6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信息内容</w:t>
            </w:r>
          </w:p>
        </w:tc>
        <w:tc>
          <w:tcPr>
            <w:tcW w:w="6383" w:type="dxa"/>
            <w:gridSpan w:val="3"/>
            <w:tcBorders>
              <w:top w:val="nil"/>
              <w:left w:val="nil"/>
              <w:bottom w:val="single" w:color="auto" w:sz="8" w:space="0"/>
              <w:right w:val="single" w:color="000000"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eastAsiaTheme="minorEastAsia"/>
                <w:color w:val="auto"/>
                <w:lang w:eastAsia="zh-CN"/>
              </w:rPr>
            </w:pPr>
            <w:r>
              <w:rPr>
                <w:rFonts w:hint="eastAsia"/>
                <w:color w:val="auto"/>
                <w:lang w:eastAsia="zh-CN"/>
              </w:rPr>
              <w:t>本年收费金额（单位：万元）</w:t>
            </w:r>
          </w:p>
        </w:tc>
      </w:tr>
      <w:tr>
        <w:tblPrEx>
          <w:tblCellMar>
            <w:top w:w="0" w:type="dxa"/>
            <w:left w:w="0" w:type="dxa"/>
            <w:bottom w:w="0" w:type="dxa"/>
            <w:right w:w="0" w:type="dxa"/>
          </w:tblCellMar>
        </w:tblPrEx>
        <w:trPr>
          <w:trHeight w:val="551" w:hRule="atLeast"/>
          <w:jc w:val="center"/>
        </w:trPr>
        <w:tc>
          <w:tcPr>
            <w:tcW w:w="267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left"/>
              <w:textAlignment w:val="auto"/>
              <w:rPr>
                <w:color w:val="auto"/>
              </w:rPr>
            </w:pPr>
            <w:r>
              <w:rPr>
                <w:rFonts w:hint="eastAsia" w:ascii="宋体" w:hAnsi="宋体" w:eastAsia="宋体" w:cs="宋体"/>
                <w:color w:val="auto"/>
                <w:kern w:val="0"/>
                <w:sz w:val="20"/>
                <w:szCs w:val="20"/>
              </w:rPr>
              <w:t>行政事业性收费</w:t>
            </w:r>
          </w:p>
        </w:tc>
        <w:tc>
          <w:tcPr>
            <w:tcW w:w="6383" w:type="dxa"/>
            <w:gridSpan w:val="3"/>
            <w:tcBorders>
              <w:top w:val="nil"/>
              <w:left w:val="nil"/>
              <w:bottom w:val="single" w:color="auto" w:sz="8" w:space="0"/>
              <w:right w:val="single" w:color="000000"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eastAsia="宋体"/>
                <w:color w:val="auto"/>
                <w:lang w:val="en-US" w:eastAsia="zh-CN"/>
              </w:rPr>
            </w:pPr>
            <w:r>
              <w:rPr>
                <w:rFonts w:hint="eastAsia" w:eastAsia="宋体"/>
                <w:color w:val="auto"/>
                <w:lang w:val="en-US" w:eastAsia="zh-CN"/>
              </w:rPr>
              <w:t>0</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三、收到和处理政府信息公开申请情况</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855"/>
        <w:gridCol w:w="1285"/>
        <w:gridCol w:w="1618"/>
        <w:gridCol w:w="756"/>
        <w:gridCol w:w="756"/>
        <w:gridCol w:w="815"/>
        <w:gridCol w:w="976"/>
        <w:gridCol w:w="71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center"/>
              <w:textAlignment w:val="auto"/>
              <w:rPr>
                <w:color w:val="auto"/>
              </w:rPr>
            </w:pPr>
            <w:r>
              <w:rPr>
                <w:rFonts w:hint="eastAsia" w:ascii="宋体" w:hAnsi="宋体" w:eastAsia="宋体" w:cs="宋体"/>
                <w:color w:val="auto"/>
                <w:kern w:val="0"/>
                <w:sz w:val="20"/>
                <w:szCs w:val="20"/>
              </w:rPr>
              <w:t>（本列数据的勾稽关系为：第一项加第二项之和，等于第三项加第四项之和）</w:t>
            </w:r>
          </w:p>
        </w:tc>
        <w:tc>
          <w:tcPr>
            <w:tcW w:w="6313"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618"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自然人</w:t>
            </w:r>
          </w:p>
        </w:tc>
        <w:tc>
          <w:tcPr>
            <w:tcW w:w="4016"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法人或其他组织</w:t>
            </w:r>
          </w:p>
        </w:tc>
        <w:tc>
          <w:tcPr>
            <w:tcW w:w="679"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275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商业企业</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科研机构</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社会公益组织</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法律服务机构</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其他</w:t>
            </w:r>
          </w:p>
        </w:tc>
        <w:tc>
          <w:tcPr>
            <w:tcW w:w="679"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宋体" w:hAnsi="宋体" w:eastAsia="宋体" w:cs="宋体"/>
                <w:color w:val="auto"/>
                <w:kern w:val="0"/>
                <w:sz w:val="20"/>
                <w:szCs w:val="20"/>
              </w:rPr>
              <w:t>一、本年新收政府信息公开申请数量</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19</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宋体" w:hAnsi="宋体" w:eastAsia="宋体" w:cs="宋体"/>
                <w:color w:val="auto"/>
                <w:kern w:val="0"/>
                <w:sz w:val="20"/>
                <w:szCs w:val="20"/>
              </w:rPr>
              <w:t>二、上年结转政府信息公开申请数量</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三、本年度办理结果</w:t>
            </w:r>
          </w:p>
        </w:tc>
        <w:tc>
          <w:tcPr>
            <w:tcW w:w="21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（一）予以公开</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1</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21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（二）部分公开（区分处理的，只计这一情形，不计其他情形）</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16</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Theme="minorEastAsia"/>
                <w:color w:val="auto"/>
                <w:lang w:val="en-US" w:eastAsia="zh-CN"/>
              </w:rPr>
            </w:pPr>
            <w:r>
              <w:rPr>
                <w:rFonts w:hint="eastAsia"/>
                <w:color w:val="auto"/>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（三）不予公开</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1.属于国家秘密</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2.其他法律行政法规禁止公开</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3.危及“三安全一稳定”</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4.保护第三方合法权益</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5.属于三类内部事务信息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6.属于四类过程性信息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7.属于行政执法案卷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8.属于行政查询事项</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（四）无法提供</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1.本机关不掌握相关政府信息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2</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Theme="minorEastAsia"/>
                <w:color w:val="auto"/>
                <w:lang w:val="en-US" w:eastAsia="zh-CN"/>
              </w:rPr>
            </w:pPr>
            <w:r>
              <w:rPr>
                <w:rFonts w:hint="eastAsia"/>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2.没有现成信息需要另行制作</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3.补正后申请内容仍不明确</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（五）不予处理</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1.信访举报投诉类申请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2.重复申请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3.要求提供公开出版物</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rPr>
            </w:pPr>
            <w:r>
              <w:rPr>
                <w:rFonts w:hint="eastAsia" w:ascii="楷体" w:hAnsi="楷体" w:eastAsia="楷体" w:cs="楷体"/>
                <w:color w:val="auto"/>
                <w:kern w:val="0"/>
                <w:sz w:val="20"/>
                <w:szCs w:val="20"/>
              </w:rPr>
              <w:t>4.无正当理由大量反复申请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 w:val="24"/>
                <w:szCs w:val="24"/>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rPr>
            </w:pPr>
            <w:r>
              <w:rPr>
                <w:rFonts w:hint="eastAsia" w:ascii="楷体" w:hAnsi="楷体" w:eastAsia="楷体" w:cs="楷体"/>
                <w:color w:val="auto"/>
                <w:kern w:val="0"/>
                <w:sz w:val="20"/>
                <w:szCs w:val="20"/>
              </w:rPr>
              <w:t>5.要求行政机关确认或重新出具已获取信息</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4" w:hRule="atLeast"/>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（六）其他处理</w:t>
            </w: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楷体" w:hAnsi="楷体" w:eastAsia="楷体" w:cs="楷体"/>
                <w:color w:val="auto"/>
                <w:kern w:val="0"/>
                <w:sz w:val="20"/>
                <w:szCs w:val="20"/>
                <w:lang w:val="en-US" w:eastAsia="zh-CN"/>
              </w:rPr>
            </w:pPr>
            <w:r>
              <w:rPr>
                <w:rFonts w:hint="eastAsia" w:ascii="楷体" w:hAnsi="楷体" w:eastAsia="楷体" w:cs="楷体"/>
                <w:color w:val="auto"/>
                <w:kern w:val="0"/>
                <w:sz w:val="20"/>
                <w:szCs w:val="20"/>
                <w:lang w:val="en-US" w:eastAsia="zh-CN"/>
              </w:rPr>
              <w:t>1.申请人无正当理由逾期不补正、行政机关不再处理其政府信息公开申请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p>
        </w:tc>
        <w:tc>
          <w:tcPr>
            <w:tcW w:w="1285"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360" w:lineRule="auto"/>
              <w:jc w:val="left"/>
              <w:textAlignment w:val="auto"/>
              <w:rPr>
                <w:rFonts w:hint="default" w:ascii="楷体" w:hAnsi="楷体" w:eastAsia="楷体" w:cs="楷体"/>
                <w:color w:val="auto"/>
                <w:kern w:val="0"/>
                <w:sz w:val="20"/>
                <w:szCs w:val="20"/>
                <w:lang w:val="en-US" w:eastAsia="zh-CN"/>
              </w:rPr>
            </w:pPr>
            <w:r>
              <w:rPr>
                <w:rFonts w:hint="eastAsia" w:ascii="楷体" w:hAnsi="楷体" w:eastAsia="楷体" w:cs="楷体"/>
                <w:color w:val="auto"/>
                <w:kern w:val="0"/>
                <w:sz w:val="20"/>
                <w:szCs w:val="20"/>
                <w:lang w:val="en-US" w:eastAsia="zh-CN"/>
              </w:rPr>
              <w:t>2.申请人逾期未按收费通知要求缴纳费用、行政机关不再处理其政府信息公开申请</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855"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p>
        </w:tc>
        <w:tc>
          <w:tcPr>
            <w:tcW w:w="12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rFonts w:hint="default" w:ascii="楷体" w:hAnsi="楷体" w:eastAsia="楷体" w:cs="楷体"/>
                <w:color w:val="auto"/>
                <w:kern w:val="0"/>
                <w:sz w:val="20"/>
                <w:szCs w:val="20"/>
                <w:lang w:val="en-US" w:eastAsia="zh-CN"/>
              </w:rPr>
            </w:pPr>
            <w:r>
              <w:rPr>
                <w:rFonts w:hint="eastAsia" w:ascii="楷体" w:hAnsi="楷体" w:eastAsia="楷体" w:cs="楷体"/>
                <w:color w:val="auto"/>
                <w:kern w:val="0"/>
                <w:sz w:val="20"/>
                <w:szCs w:val="20"/>
                <w:lang w:val="en-US" w:eastAsia="zh-CN"/>
              </w:rPr>
              <w:t>3.其他</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ascii="宋体"/>
                <w:color w:val="auto"/>
                <w:sz w:val="24"/>
                <w:szCs w:val="24"/>
              </w:rPr>
            </w:pPr>
          </w:p>
        </w:tc>
        <w:tc>
          <w:tcPr>
            <w:tcW w:w="21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60" w:lineRule="auto"/>
              <w:jc w:val="left"/>
              <w:textAlignment w:val="auto"/>
              <w:rPr>
                <w:color w:val="auto"/>
              </w:rPr>
            </w:pPr>
            <w:r>
              <w:rPr>
                <w:rFonts w:hint="eastAsia" w:ascii="楷体" w:hAnsi="楷体" w:eastAsia="楷体" w:cs="楷体"/>
                <w:color w:val="auto"/>
                <w:kern w:val="0"/>
                <w:sz w:val="20"/>
                <w:szCs w:val="20"/>
              </w:rPr>
              <w:t>（七）总计</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Theme="minorEastAsia"/>
                <w:color w:val="auto"/>
                <w:lang w:val="en-US" w:eastAsia="zh-CN"/>
              </w:rPr>
            </w:pPr>
            <w:r>
              <w:rPr>
                <w:rFonts w:hint="eastAsia"/>
                <w:color w:val="auto"/>
                <w:lang w:val="en-US" w:eastAsia="zh-CN"/>
              </w:rPr>
              <w:t>19</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Theme="minorEastAsia"/>
                <w:color w:val="auto"/>
                <w:lang w:val="en-US" w:eastAsia="zh-CN"/>
              </w:rPr>
            </w:pPr>
            <w:r>
              <w:rPr>
                <w:rFonts w:hint="eastAsia"/>
                <w:color w:val="auto"/>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8"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left"/>
              <w:textAlignment w:val="auto"/>
              <w:rPr>
                <w:color w:val="auto"/>
              </w:rPr>
            </w:pPr>
            <w:r>
              <w:rPr>
                <w:rFonts w:hint="eastAsia" w:ascii="宋体" w:hAnsi="宋体" w:eastAsia="宋体" w:cs="宋体"/>
                <w:color w:val="auto"/>
                <w:kern w:val="0"/>
                <w:sz w:val="20"/>
                <w:szCs w:val="20"/>
              </w:rPr>
              <w:t>四、结转下年度继续办理</w:t>
            </w:r>
          </w:p>
        </w:tc>
        <w:tc>
          <w:tcPr>
            <w:tcW w:w="161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8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97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71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79" w:type="dxa"/>
            <w:tcMar>
              <w:left w:w="108" w:type="dxa"/>
              <w:right w:w="108" w:type="dxa"/>
            </w:tcMar>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0</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color w:val="auto"/>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color w:val="auto"/>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color w:val="auto"/>
              </w:rPr>
            </w:pPr>
            <w:r>
              <w:rPr>
                <w:rFonts w:hint="eastAsia" w:ascii="宋体" w:hAnsi="宋体" w:eastAsia="宋体" w:cs="宋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eastAsia="宋体"/>
                <w:color w:val="auto"/>
                <w:lang w:val="en-US" w:eastAsia="zh-CN"/>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eastAsia" w:eastAsiaTheme="minorEastAsia"/>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jc w:val="center"/>
              <w:textAlignment w:val="auto"/>
              <w:rPr>
                <w:rFonts w:hint="default" w:eastAsia="宋体"/>
                <w:color w:val="auto"/>
                <w:lang w:val="en-US" w:eastAsia="zh-CN"/>
              </w:rPr>
            </w:pPr>
            <w:r>
              <w:rPr>
                <w:rFonts w:hint="eastAsia" w:eastAsia="宋体"/>
                <w:color w:val="auto"/>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0</w:t>
            </w:r>
          </w:p>
        </w:tc>
      </w:tr>
    </w:tbl>
    <w:p>
      <w:pPr>
        <w:pStyle w:val="7"/>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、存在的主要问题和改进情况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lang w:eastAsia="zh-CN"/>
        </w:rPr>
        <w:t>存在的主要问题：</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政务公开</w:t>
      </w:r>
      <w:r>
        <w:rPr>
          <w:rFonts w:hint="eastAsia" w:ascii="仿宋_GB2312" w:hAnsi="仿宋_GB2312" w:eastAsia="仿宋_GB2312" w:cs="仿宋_GB2312"/>
          <w:color w:val="auto"/>
          <w:sz w:val="32"/>
          <w:szCs w:val="32"/>
        </w:rPr>
        <w:t>工作人员业务能力素质</w:t>
      </w:r>
      <w:r>
        <w:rPr>
          <w:rFonts w:hint="eastAsia" w:ascii="仿宋_GB2312" w:hAnsi="仿宋_GB2312" w:eastAsia="仿宋_GB2312" w:cs="仿宋_GB2312"/>
          <w:color w:val="auto"/>
          <w:sz w:val="32"/>
          <w:szCs w:val="32"/>
          <w:lang w:eastAsia="zh-CN"/>
        </w:rPr>
        <w:t>有待</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，队伍专业化水平</w:t>
      </w:r>
      <w:r>
        <w:rPr>
          <w:rFonts w:hint="eastAsia" w:ascii="仿宋_GB2312" w:hAnsi="仿宋_GB2312" w:eastAsia="仿宋_GB2312" w:cs="仿宋_GB2312"/>
          <w:color w:val="auto"/>
          <w:sz w:val="32"/>
          <w:szCs w:val="32"/>
          <w:lang w:eastAsia="zh-CN"/>
        </w:rPr>
        <w:t>还</w:t>
      </w:r>
      <w:r>
        <w:rPr>
          <w:rFonts w:hint="eastAsia" w:ascii="仿宋_GB2312" w:hAnsi="仿宋_GB2312" w:eastAsia="仿宋_GB2312" w:cs="仿宋_GB2312"/>
          <w:color w:val="auto"/>
          <w:sz w:val="32"/>
          <w:szCs w:val="32"/>
        </w:rPr>
        <w:t>需进一步提高；</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政务公开责任落实上还有差距，政务信息公开还不够及时主动</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政府信息公开政策文件解读质量和水平还有待进一步提高</w:t>
      </w:r>
      <w:r>
        <w:rPr>
          <w:rFonts w:hint="eastAsia" w:ascii="仿宋_GB2312" w:hAnsi="仿宋_GB2312" w:eastAsia="仿宋_GB2312" w:cs="仿宋_GB2312"/>
          <w:color w:val="auto"/>
          <w:sz w:val="32"/>
          <w:szCs w:val="32"/>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改进措施：</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bCs/>
          <w:color w:val="auto"/>
          <w:sz w:val="32"/>
          <w:szCs w:val="32"/>
          <w:lang w:eastAsia="zh-CN"/>
        </w:rPr>
        <w:t>强化</w:t>
      </w:r>
      <w:r>
        <w:rPr>
          <w:rFonts w:hint="eastAsia" w:ascii="仿宋_GB2312" w:hAnsi="仿宋_GB2312" w:eastAsia="仿宋_GB2312" w:cs="仿宋_GB2312"/>
          <w:b/>
          <w:bCs/>
          <w:color w:val="auto"/>
          <w:sz w:val="32"/>
          <w:szCs w:val="32"/>
        </w:rPr>
        <w:t>业务培训。</w:t>
      </w:r>
      <w:r>
        <w:rPr>
          <w:rFonts w:hint="eastAsia" w:ascii="仿宋_GB2312" w:hAnsi="仿宋_GB2312" w:eastAsia="仿宋_GB2312" w:cs="仿宋_GB2312"/>
          <w:color w:val="auto"/>
          <w:sz w:val="32"/>
          <w:szCs w:val="32"/>
        </w:rPr>
        <w:t>结合工作实际，</w:t>
      </w:r>
      <w:r>
        <w:rPr>
          <w:rFonts w:hint="eastAsia" w:ascii="仿宋_GB2312" w:hAnsi="仿宋_GB2312" w:eastAsia="仿宋_GB2312" w:cs="仿宋_GB2312"/>
          <w:color w:val="auto"/>
          <w:sz w:val="32"/>
          <w:szCs w:val="32"/>
          <w:lang w:eastAsia="zh-CN"/>
        </w:rPr>
        <w:t>适时</w:t>
      </w:r>
      <w:r>
        <w:rPr>
          <w:rFonts w:hint="eastAsia" w:ascii="仿宋_GB2312" w:hAnsi="仿宋_GB2312" w:eastAsia="仿宋_GB2312" w:cs="仿宋_GB2312"/>
          <w:color w:val="auto"/>
          <w:sz w:val="32"/>
          <w:szCs w:val="32"/>
        </w:rPr>
        <w:t>召开</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政务公开工作推进会</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会，及时对各</w:t>
      </w:r>
      <w:r>
        <w:rPr>
          <w:rFonts w:hint="eastAsia" w:ascii="仿宋_GB2312" w:hAnsi="仿宋_GB2312" w:eastAsia="仿宋_GB2312" w:cs="仿宋_GB2312"/>
          <w:color w:val="auto"/>
          <w:sz w:val="32"/>
          <w:szCs w:val="32"/>
          <w:lang w:eastAsia="zh-CN"/>
        </w:rPr>
        <w:t>乡镇、县直各有关部门政务公开工作</w:t>
      </w:r>
      <w:r>
        <w:rPr>
          <w:rFonts w:hint="eastAsia" w:ascii="仿宋_GB2312" w:hAnsi="仿宋_GB2312" w:eastAsia="仿宋_GB2312" w:cs="仿宋_GB2312"/>
          <w:color w:val="auto"/>
          <w:sz w:val="32"/>
          <w:szCs w:val="32"/>
        </w:rPr>
        <w:t>进行业务</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，不断增强各</w:t>
      </w:r>
      <w:r>
        <w:rPr>
          <w:rFonts w:hint="eastAsia" w:ascii="仿宋_GB2312" w:hAnsi="仿宋_GB2312" w:eastAsia="仿宋_GB2312" w:cs="仿宋_GB2312"/>
          <w:color w:val="auto"/>
          <w:sz w:val="32"/>
          <w:szCs w:val="32"/>
          <w:lang w:eastAsia="zh-CN"/>
        </w:rPr>
        <w:t>乡镇、县直各有关部门的主动</w:t>
      </w:r>
      <w:r>
        <w:rPr>
          <w:rFonts w:hint="eastAsia" w:ascii="仿宋_GB2312" w:hAnsi="仿宋_GB2312" w:eastAsia="仿宋_GB2312" w:cs="仿宋_GB2312"/>
          <w:color w:val="auto"/>
          <w:sz w:val="32"/>
          <w:szCs w:val="32"/>
        </w:rPr>
        <w:t>公开意识</w:t>
      </w:r>
      <w:r>
        <w:rPr>
          <w:rFonts w:hint="eastAsia" w:ascii="仿宋_GB2312" w:hAnsi="仿宋_GB2312" w:eastAsia="仿宋_GB2312" w:cs="仿宋_GB2312"/>
          <w:color w:val="auto"/>
          <w:sz w:val="32"/>
          <w:szCs w:val="32"/>
          <w:lang w:eastAsia="zh-CN"/>
        </w:rPr>
        <w:t>和公开工作标准化、规范化水平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bCs/>
          <w:color w:val="auto"/>
          <w:sz w:val="32"/>
          <w:szCs w:val="32"/>
          <w:lang w:eastAsia="zh-CN"/>
        </w:rPr>
        <w:t>扩大公开范围。</w:t>
      </w:r>
      <w:r>
        <w:rPr>
          <w:rFonts w:hint="eastAsia" w:ascii="仿宋_GB2312" w:hAnsi="仿宋_GB2312" w:eastAsia="仿宋_GB2312" w:cs="仿宋_GB2312"/>
          <w:color w:val="auto"/>
          <w:sz w:val="32"/>
          <w:szCs w:val="32"/>
          <w:lang w:val="en-US" w:eastAsia="zh-CN"/>
        </w:rPr>
        <w:t>持续加大政务公开工作督查检查力度，坚持“以公开为常态、不公开为例外”的原则，对涉及重大决策、通知</w:t>
      </w:r>
      <w:r>
        <w:rPr>
          <w:rFonts w:hint="eastAsia" w:ascii="仿宋_GB2312" w:hAnsi="仿宋_GB2312" w:eastAsia="仿宋_GB2312" w:cs="仿宋_GB2312"/>
          <w:b w:val="0"/>
          <w:bCs w:val="0"/>
          <w:color w:val="auto"/>
          <w:sz w:val="32"/>
          <w:szCs w:val="32"/>
          <w:lang w:val="en-US" w:eastAsia="zh-CN"/>
        </w:rPr>
        <w:t>、公告等需要公众知晓的公开类信息，要求第一时间在政府网站发布，常态化推进政务公开工作，确保政务信息应公开尽公开。同时用好用足政务公开专区，打通政务公开服务群众的“最后一公里”,进一步提升便民服务能力和群众政务体验获得感。</w:t>
      </w:r>
      <w:r>
        <w:rPr>
          <w:rFonts w:hint="eastAsia" w:ascii="仿宋_GB2312" w:hAnsi="仿宋_GB2312" w:eastAsia="仿宋_GB2312" w:cs="仿宋_GB2312"/>
          <w:b/>
          <w:bCs/>
          <w:color w:val="auto"/>
          <w:sz w:val="32"/>
          <w:szCs w:val="32"/>
          <w:lang w:eastAsia="zh-CN"/>
        </w:rPr>
        <w:t>三是提升政策文件解读质量。</w:t>
      </w:r>
      <w:r>
        <w:rPr>
          <w:rFonts w:hint="eastAsia" w:ascii="仿宋_GB2312" w:hAnsi="仿宋_GB2312" w:eastAsia="仿宋_GB2312" w:cs="仿宋_GB2312"/>
          <w:color w:val="auto"/>
          <w:sz w:val="32"/>
          <w:szCs w:val="32"/>
          <w:lang w:val="en-US" w:eastAsia="zh-CN"/>
        </w:rPr>
        <w:t>要按照“谁起草、谁解读，应解读、尽解读”的要求对政策文件进行图片、视频、动漫等多样化解读，不断提高文件解读质量，增强政策文件的传播力和影响力。</w:t>
      </w:r>
    </w:p>
    <w:p>
      <w:pPr>
        <w:pStyle w:val="7"/>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w:t>
      </w:r>
      <w:r>
        <w:rPr>
          <w:rFonts w:hint="eastAsia" w:ascii="黑体" w:hAnsi="黑体" w:eastAsia="黑体" w:cs="黑体"/>
          <w:color w:val="auto"/>
          <w:sz w:val="32"/>
          <w:szCs w:val="32"/>
          <w:lang w:eastAsia="zh-CN"/>
        </w:rPr>
        <w:t>需要报告的事项</w:t>
      </w:r>
    </w:p>
    <w:p>
      <w:pPr>
        <w:pStyle w:val="7"/>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line="620" w:lineRule="exact"/>
        <w:ind w:firstLine="640" w:firstLineChars="200"/>
        <w:jc w:val="right"/>
        <w:textAlignment w:val="auto"/>
        <w:rPr>
          <w:rFonts w:hint="eastAsia" w:ascii="仿宋_GB2312" w:hAnsi="仿宋_GB2312" w:eastAsia="仿宋_GB2312" w:cs="仿宋_GB2312"/>
          <w:color w:val="FF000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line="62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夏县人民政府办公室</w:t>
      </w:r>
    </w:p>
    <w:p>
      <w:pPr>
        <w:pStyle w:val="7"/>
        <w:keepNext w:val="0"/>
        <w:keepLines w:val="0"/>
        <w:pageBreakBefore w:val="0"/>
        <w:widowControl/>
        <w:kinsoku/>
        <w:wordWrap/>
        <w:overflowPunct/>
        <w:topLinePunct w:val="0"/>
        <w:autoSpaceDE/>
        <w:autoSpaceDN/>
        <w:bidi w:val="0"/>
        <w:adjustRightInd/>
        <w:snapToGrid/>
        <w:spacing w:line="62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2023年1月28日</w:t>
      </w:r>
    </w:p>
    <w:sectPr>
      <w:footerReference r:id="rId3" w:type="default"/>
      <w:pgSz w:w="11906" w:h="16838"/>
      <w:pgMar w:top="1871" w:right="1474" w:bottom="1871" w:left="1587" w:header="850"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- 1 -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- 1 -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C8F63"/>
    <w:multiLevelType w:val="singleLevel"/>
    <w:tmpl w:val="3FBC8F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DcyMzlmMzNhMDRmNjczNGFhNTY5NmQ0NTgyMjUifQ=="/>
  </w:docVars>
  <w:rsids>
    <w:rsidRoot w:val="004A4264"/>
    <w:rsid w:val="00120194"/>
    <w:rsid w:val="00175EB2"/>
    <w:rsid w:val="001F60B5"/>
    <w:rsid w:val="00260039"/>
    <w:rsid w:val="00303DC2"/>
    <w:rsid w:val="00310976"/>
    <w:rsid w:val="0031453F"/>
    <w:rsid w:val="00416479"/>
    <w:rsid w:val="0046268B"/>
    <w:rsid w:val="004A4264"/>
    <w:rsid w:val="004F2B02"/>
    <w:rsid w:val="005F6E28"/>
    <w:rsid w:val="00700488"/>
    <w:rsid w:val="007269ED"/>
    <w:rsid w:val="00882056"/>
    <w:rsid w:val="008F3775"/>
    <w:rsid w:val="008F5194"/>
    <w:rsid w:val="00A42191"/>
    <w:rsid w:val="00AC2092"/>
    <w:rsid w:val="00AF559C"/>
    <w:rsid w:val="00C82861"/>
    <w:rsid w:val="00C87229"/>
    <w:rsid w:val="00CE5A02"/>
    <w:rsid w:val="00E33F2C"/>
    <w:rsid w:val="00FD4657"/>
    <w:rsid w:val="031470D9"/>
    <w:rsid w:val="053973EC"/>
    <w:rsid w:val="05424B1A"/>
    <w:rsid w:val="076F17EB"/>
    <w:rsid w:val="089B03BE"/>
    <w:rsid w:val="0915113D"/>
    <w:rsid w:val="0A3C54E3"/>
    <w:rsid w:val="0A6A0048"/>
    <w:rsid w:val="0B415567"/>
    <w:rsid w:val="0E03035A"/>
    <w:rsid w:val="0FB63537"/>
    <w:rsid w:val="11124550"/>
    <w:rsid w:val="13BE3B38"/>
    <w:rsid w:val="14327E28"/>
    <w:rsid w:val="147541B9"/>
    <w:rsid w:val="16A14DF1"/>
    <w:rsid w:val="17464331"/>
    <w:rsid w:val="175B5FD6"/>
    <w:rsid w:val="17E0718E"/>
    <w:rsid w:val="18937DB9"/>
    <w:rsid w:val="18A1732B"/>
    <w:rsid w:val="18A62B93"/>
    <w:rsid w:val="18B6072E"/>
    <w:rsid w:val="1AA76464"/>
    <w:rsid w:val="1C275D99"/>
    <w:rsid w:val="1CEB1401"/>
    <w:rsid w:val="1D7A7AA5"/>
    <w:rsid w:val="1DC35F95"/>
    <w:rsid w:val="1E2C21EE"/>
    <w:rsid w:val="1E3F7833"/>
    <w:rsid w:val="1EB91826"/>
    <w:rsid w:val="1EE57723"/>
    <w:rsid w:val="210505A2"/>
    <w:rsid w:val="21E00B86"/>
    <w:rsid w:val="22175303"/>
    <w:rsid w:val="258904E7"/>
    <w:rsid w:val="284F1C41"/>
    <w:rsid w:val="2A081A75"/>
    <w:rsid w:val="2AC84BEB"/>
    <w:rsid w:val="2B58590F"/>
    <w:rsid w:val="2C607B61"/>
    <w:rsid w:val="2DA01E4F"/>
    <w:rsid w:val="2FBB4C2D"/>
    <w:rsid w:val="2FC003CB"/>
    <w:rsid w:val="2FEF3EFE"/>
    <w:rsid w:val="301A3B2F"/>
    <w:rsid w:val="3070005E"/>
    <w:rsid w:val="314D245F"/>
    <w:rsid w:val="31A0022C"/>
    <w:rsid w:val="320D26BA"/>
    <w:rsid w:val="330509E3"/>
    <w:rsid w:val="33B96C46"/>
    <w:rsid w:val="346017FC"/>
    <w:rsid w:val="346E05B1"/>
    <w:rsid w:val="353900A6"/>
    <w:rsid w:val="354E4827"/>
    <w:rsid w:val="36B5611F"/>
    <w:rsid w:val="37296A11"/>
    <w:rsid w:val="38D442BF"/>
    <w:rsid w:val="38EC5BFE"/>
    <w:rsid w:val="39C43841"/>
    <w:rsid w:val="3A6A7A6C"/>
    <w:rsid w:val="3AD60954"/>
    <w:rsid w:val="3B5A188F"/>
    <w:rsid w:val="3C104994"/>
    <w:rsid w:val="3CCA2A44"/>
    <w:rsid w:val="3CCD7A77"/>
    <w:rsid w:val="3E1942A4"/>
    <w:rsid w:val="3E3C4892"/>
    <w:rsid w:val="3F854A01"/>
    <w:rsid w:val="3F895246"/>
    <w:rsid w:val="409141FF"/>
    <w:rsid w:val="41E73796"/>
    <w:rsid w:val="42CC754A"/>
    <w:rsid w:val="43B14016"/>
    <w:rsid w:val="43CC52F4"/>
    <w:rsid w:val="44366C11"/>
    <w:rsid w:val="44B51101"/>
    <w:rsid w:val="45AF3CA8"/>
    <w:rsid w:val="45DC79B1"/>
    <w:rsid w:val="46300CD6"/>
    <w:rsid w:val="46886876"/>
    <w:rsid w:val="47975C19"/>
    <w:rsid w:val="48B450E7"/>
    <w:rsid w:val="490D4D64"/>
    <w:rsid w:val="4A2A2D74"/>
    <w:rsid w:val="4A6F293E"/>
    <w:rsid w:val="4AC55E62"/>
    <w:rsid w:val="4B667DDC"/>
    <w:rsid w:val="4BED4E20"/>
    <w:rsid w:val="4BF0650F"/>
    <w:rsid w:val="4C920B15"/>
    <w:rsid w:val="4D202486"/>
    <w:rsid w:val="4D8E7176"/>
    <w:rsid w:val="502361B2"/>
    <w:rsid w:val="516D2658"/>
    <w:rsid w:val="524D5852"/>
    <w:rsid w:val="530219FE"/>
    <w:rsid w:val="53532AED"/>
    <w:rsid w:val="53F57511"/>
    <w:rsid w:val="53FE250C"/>
    <w:rsid w:val="54890A0B"/>
    <w:rsid w:val="54DB5845"/>
    <w:rsid w:val="57FF5E3A"/>
    <w:rsid w:val="587C6F36"/>
    <w:rsid w:val="58CF4B2C"/>
    <w:rsid w:val="5A3058DD"/>
    <w:rsid w:val="5A356762"/>
    <w:rsid w:val="5B995664"/>
    <w:rsid w:val="5BAB6E28"/>
    <w:rsid w:val="5BB83E17"/>
    <w:rsid w:val="5C6A1F68"/>
    <w:rsid w:val="5CC563DA"/>
    <w:rsid w:val="5DB7478C"/>
    <w:rsid w:val="5E767285"/>
    <w:rsid w:val="5EB427B5"/>
    <w:rsid w:val="5F2416E8"/>
    <w:rsid w:val="601607FC"/>
    <w:rsid w:val="60AC7BE7"/>
    <w:rsid w:val="62A414BE"/>
    <w:rsid w:val="638E5A46"/>
    <w:rsid w:val="64B76C0A"/>
    <w:rsid w:val="64BC4222"/>
    <w:rsid w:val="654354C3"/>
    <w:rsid w:val="667861D9"/>
    <w:rsid w:val="66DB3793"/>
    <w:rsid w:val="67CC59E3"/>
    <w:rsid w:val="67D76509"/>
    <w:rsid w:val="681413E6"/>
    <w:rsid w:val="683012CE"/>
    <w:rsid w:val="6881195A"/>
    <w:rsid w:val="6A072332"/>
    <w:rsid w:val="6A166E5B"/>
    <w:rsid w:val="6B221F4E"/>
    <w:rsid w:val="6BC13BC9"/>
    <w:rsid w:val="6C082768"/>
    <w:rsid w:val="6C111246"/>
    <w:rsid w:val="6C39265B"/>
    <w:rsid w:val="6C842E41"/>
    <w:rsid w:val="6D9B648D"/>
    <w:rsid w:val="6E015350"/>
    <w:rsid w:val="6E195FB2"/>
    <w:rsid w:val="6EE844E0"/>
    <w:rsid w:val="6F656470"/>
    <w:rsid w:val="6FC2381F"/>
    <w:rsid w:val="703F79B8"/>
    <w:rsid w:val="707B051F"/>
    <w:rsid w:val="70A80C09"/>
    <w:rsid w:val="72002887"/>
    <w:rsid w:val="727605A6"/>
    <w:rsid w:val="72E66F89"/>
    <w:rsid w:val="74086D0D"/>
    <w:rsid w:val="751332DC"/>
    <w:rsid w:val="7535244A"/>
    <w:rsid w:val="76421BF8"/>
    <w:rsid w:val="7656294D"/>
    <w:rsid w:val="78447D87"/>
    <w:rsid w:val="78A81AE2"/>
    <w:rsid w:val="78FD7828"/>
    <w:rsid w:val="793C684C"/>
    <w:rsid w:val="79A36AC1"/>
    <w:rsid w:val="79D518FE"/>
    <w:rsid w:val="79F57A08"/>
    <w:rsid w:val="7A6730A5"/>
    <w:rsid w:val="7ADA311F"/>
    <w:rsid w:val="7B0C33B1"/>
    <w:rsid w:val="7C324FED"/>
    <w:rsid w:val="7C7E4AD4"/>
    <w:rsid w:val="7CFB13B7"/>
    <w:rsid w:val="7D47435F"/>
    <w:rsid w:val="7E0155BF"/>
    <w:rsid w:val="7E1D1CCD"/>
    <w:rsid w:val="7E653DA8"/>
    <w:rsid w:val="7E6D055E"/>
    <w:rsid w:val="7F98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333333"/>
      <w:u w:val="none"/>
    </w:rPr>
  </w:style>
  <w:style w:type="character" w:styleId="11">
    <w:name w:val="Emphasis"/>
    <w:basedOn w:val="9"/>
    <w:qFormat/>
    <w:uiPriority w:val="0"/>
    <w:rPr>
      <w:i/>
    </w:rPr>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333333"/>
      <w:u w:val="none"/>
    </w:rPr>
  </w:style>
  <w:style w:type="character" w:styleId="16">
    <w:name w:val="HTML Code"/>
    <w:basedOn w:val="9"/>
    <w:qFormat/>
    <w:uiPriority w:val="0"/>
    <w:rPr>
      <w:rFonts w:hint="default" w:ascii="Menlo" w:hAnsi="Menlo" w:eastAsia="Menlo" w:cs="Menlo"/>
      <w:color w:val="C7254E"/>
      <w:sz w:val="21"/>
      <w:szCs w:val="21"/>
      <w:shd w:val="clear" w:color="auto" w:fill="F9F2F4"/>
    </w:rPr>
  </w:style>
  <w:style w:type="character" w:styleId="17">
    <w:name w:val="HTML Cite"/>
    <w:basedOn w:val="9"/>
    <w:qFormat/>
    <w:uiPriority w:val="0"/>
  </w:style>
  <w:style w:type="character" w:styleId="18">
    <w:name w:val="HTML Keyboard"/>
    <w:basedOn w:val="9"/>
    <w:qFormat/>
    <w:uiPriority w:val="0"/>
    <w:rPr>
      <w:rFonts w:hint="default" w:ascii="Menlo" w:hAnsi="Menlo" w:eastAsia="Menlo" w:cs="Menlo"/>
      <w:color w:val="FFFFFF"/>
      <w:sz w:val="21"/>
      <w:szCs w:val="21"/>
      <w:shd w:val="clear" w:color="auto" w:fill="333333"/>
    </w:rPr>
  </w:style>
  <w:style w:type="character" w:styleId="19">
    <w:name w:val="HTML Sample"/>
    <w:basedOn w:val="9"/>
    <w:qFormat/>
    <w:uiPriority w:val="0"/>
    <w:rPr>
      <w:rFonts w:ascii="Menlo" w:hAnsi="Menlo" w:eastAsia="Menlo" w:cs="Menlo"/>
    </w:rPr>
  </w:style>
  <w:style w:type="character" w:customStyle="1" w:styleId="20">
    <w:name w:val="badge-sea"/>
    <w:basedOn w:val="9"/>
    <w:qFormat/>
    <w:uiPriority w:val="0"/>
    <w:rPr>
      <w:shd w:val="clear" w:color="auto" w:fill="72C02C"/>
    </w:rPr>
  </w:style>
  <w:style w:type="character" w:customStyle="1" w:styleId="21">
    <w:name w:val="hover"/>
    <w:basedOn w:val="9"/>
    <w:qFormat/>
    <w:uiPriority w:val="0"/>
    <w:rPr>
      <w:b/>
      <w:color w:val="FFFFFF"/>
      <w:shd w:val="clear" w:color="auto" w:fill="298BD4"/>
    </w:rPr>
  </w:style>
  <w:style w:type="character" w:customStyle="1" w:styleId="22">
    <w:name w:val="hover1"/>
    <w:basedOn w:val="9"/>
    <w:qFormat/>
    <w:uiPriority w:val="0"/>
    <w:rPr>
      <w:color w:val="FFFFFF"/>
      <w:u w:val="none"/>
      <w:shd w:val="clear" w:color="auto" w:fill="298BD4"/>
    </w:rPr>
  </w:style>
  <w:style w:type="character" w:customStyle="1" w:styleId="23">
    <w:name w:val="hover2"/>
    <w:basedOn w:val="9"/>
    <w:qFormat/>
    <w:uiPriority w:val="0"/>
    <w:rPr>
      <w:color w:val="FFFFFF"/>
      <w:u w:val="none"/>
      <w:shd w:val="clear" w:color="auto" w:fill="298BD4"/>
    </w:rPr>
  </w:style>
  <w:style w:type="character" w:customStyle="1" w:styleId="24">
    <w:name w:val="hover3"/>
    <w:basedOn w:val="9"/>
    <w:qFormat/>
    <w:uiPriority w:val="0"/>
  </w:style>
  <w:style w:type="character" w:customStyle="1" w:styleId="25">
    <w:name w:val="hover4"/>
    <w:basedOn w:val="9"/>
    <w:qFormat/>
    <w:uiPriority w:val="0"/>
  </w:style>
  <w:style w:type="character" w:customStyle="1" w:styleId="26">
    <w:name w:val="hover5"/>
    <w:basedOn w:val="9"/>
    <w:qFormat/>
    <w:uiPriority w:val="0"/>
  </w:style>
  <w:style w:type="character" w:customStyle="1" w:styleId="27">
    <w:name w:val="hover6"/>
    <w:basedOn w:val="9"/>
    <w:qFormat/>
    <w:uiPriority w:val="0"/>
  </w:style>
  <w:style w:type="character" w:customStyle="1" w:styleId="28">
    <w:name w:val="hover7"/>
    <w:basedOn w:val="9"/>
    <w:qFormat/>
    <w:uiPriority w:val="0"/>
    <w:rPr>
      <w:color w:val="FFFFFF"/>
      <w:u w:val="none"/>
      <w:shd w:val="clear" w:color="auto" w:fill="298BD4"/>
    </w:rPr>
  </w:style>
  <w:style w:type="character" w:customStyle="1" w:styleId="29">
    <w:name w:val="hover26"/>
    <w:basedOn w:val="9"/>
    <w:qFormat/>
    <w:uiPriority w:val="0"/>
  </w:style>
  <w:style w:type="character" w:customStyle="1" w:styleId="30">
    <w:name w:val="badge12"/>
    <w:basedOn w:val="9"/>
    <w:qFormat/>
    <w:uiPriority w:val="0"/>
  </w:style>
  <w:style w:type="character" w:customStyle="1" w:styleId="31">
    <w:name w:val="layui-layer-tabnow"/>
    <w:basedOn w:val="9"/>
    <w:qFormat/>
    <w:uiPriority w:val="0"/>
    <w:rPr>
      <w:bdr w:val="single" w:color="CCCCCC" w:sz="6" w:space="0"/>
      <w:shd w:val="clear" w:color="auto" w:fill="FFFFFF"/>
    </w:rPr>
  </w:style>
  <w:style w:type="character" w:customStyle="1" w:styleId="32">
    <w:name w:val="first-child"/>
    <w:basedOn w:val="9"/>
    <w:qFormat/>
    <w:uiPriority w:val="0"/>
  </w:style>
  <w:style w:type="character" w:customStyle="1" w:styleId="33">
    <w:name w:val="badge"/>
    <w:basedOn w:val="9"/>
    <w:qFormat/>
    <w:uiPriority w:val="0"/>
  </w:style>
  <w:style w:type="character" w:customStyle="1" w:styleId="34">
    <w:name w:val="hover18"/>
    <w:basedOn w:val="9"/>
    <w:qFormat/>
    <w:uiPriority w:val="0"/>
  </w:style>
  <w:style w:type="character" w:customStyle="1" w:styleId="35">
    <w:name w:val="hover19"/>
    <w:basedOn w:val="9"/>
    <w:qFormat/>
    <w:uiPriority w:val="0"/>
  </w:style>
  <w:style w:type="character" w:customStyle="1" w:styleId="36">
    <w:name w:val="hover20"/>
    <w:basedOn w:val="9"/>
    <w:qFormat/>
    <w:uiPriority w:val="0"/>
  </w:style>
  <w:style w:type="character" w:customStyle="1" w:styleId="37">
    <w:name w:val="hover21"/>
    <w:basedOn w:val="9"/>
    <w:qFormat/>
    <w:uiPriority w:val="0"/>
  </w:style>
  <w:style w:type="character" w:customStyle="1" w:styleId="38">
    <w:name w:val="hover22"/>
    <w:basedOn w:val="9"/>
    <w:qFormat/>
    <w:uiPriority w:val="0"/>
    <w:rPr>
      <w:b/>
      <w:color w:val="FFFFFF"/>
      <w:shd w:val="clear" w:color="auto" w:fill="298BD4"/>
    </w:rPr>
  </w:style>
  <w:style w:type="character" w:customStyle="1" w:styleId="39">
    <w:name w:val="hover23"/>
    <w:basedOn w:val="9"/>
    <w:qFormat/>
    <w:uiPriority w:val="0"/>
    <w:rPr>
      <w:color w:val="FFFFFF"/>
      <w:u w:val="none"/>
      <w:shd w:val="clear" w:color="auto" w:fill="298BD4"/>
    </w:rPr>
  </w:style>
  <w:style w:type="character" w:customStyle="1" w:styleId="40">
    <w:name w:val="hover24"/>
    <w:basedOn w:val="9"/>
    <w:qFormat/>
    <w:uiPriority w:val="0"/>
    <w:rPr>
      <w:color w:val="FFFFFF"/>
      <w:u w:val="none"/>
      <w:shd w:val="clear" w:color="auto" w:fill="298BD4"/>
    </w:rPr>
  </w:style>
  <w:style w:type="character" w:customStyle="1" w:styleId="41">
    <w:name w:val="hover25"/>
    <w:basedOn w:val="9"/>
    <w:qFormat/>
    <w:uiPriority w:val="0"/>
    <w:rPr>
      <w:color w:val="FFFFFF"/>
      <w:u w:val="none"/>
      <w:shd w:val="clear" w:color="auto" w:fill="298BD4"/>
    </w:rPr>
  </w:style>
  <w:style w:type="paragraph" w:customStyle="1" w:styleId="42">
    <w:name w:val="List Paragraph"/>
    <w:basedOn w:val="1"/>
    <w:qFormat/>
    <w:uiPriority w:val="99"/>
    <w:pPr>
      <w:ind w:firstLine="420" w:firstLineChars="200"/>
    </w:pPr>
  </w:style>
  <w:style w:type="character" w:customStyle="1" w:styleId="43">
    <w:name w:val="wap-blue"/>
    <w:basedOn w:val="9"/>
    <w:qFormat/>
    <w:uiPriority w:val="0"/>
    <w:rPr>
      <w:color w:val="4D95E3"/>
    </w:rPr>
  </w:style>
  <w:style w:type="character" w:customStyle="1" w:styleId="44">
    <w:name w:val="swiper-pagination-bullet-active4"/>
    <w:basedOn w:val="9"/>
    <w:qFormat/>
    <w:uiPriority w:val="0"/>
    <w:rPr>
      <w:shd w:val="clear" w:fill="1369C0"/>
    </w:rPr>
  </w:style>
  <w:style w:type="character" w:customStyle="1" w:styleId="45">
    <w:name w:val="wap-cont"/>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2937</Words>
  <Characters>3051</Characters>
  <Lines>26</Lines>
  <Paragraphs>7</Paragraphs>
  <TotalTime>142</TotalTime>
  <ScaleCrop>false</ScaleCrop>
  <LinksUpToDate>false</LinksUpToDate>
  <CharactersWithSpaces>3073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MONSTER</cp:lastModifiedBy>
  <cp:lastPrinted>2022-01-29T02:13:00Z</cp:lastPrinted>
  <dcterms:modified xsi:type="dcterms:W3CDTF">2023-01-30T09:57:53Z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81CA144B5C6E4820A36B40B6FC09124C</vt:lpwstr>
  </property>
</Properties>
</file>