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kinsoku/>
        <w:wordWrap/>
        <w:overflowPunct/>
        <w:topLinePunct w:val="0"/>
        <w:autoSpaceDE/>
        <w:autoSpaceDN/>
        <w:bidi w:val="0"/>
        <w:adjustRightInd/>
        <w:snapToGrid/>
        <w:spacing w:line="620" w:lineRule="exact"/>
        <w:ind w:firstLine="0" w:firstLineChars="0"/>
        <w:jc w:val="center"/>
        <w:textAlignment w:val="auto"/>
        <w:rPr>
          <w:rFonts w:hint="eastAsia" w:ascii="方正小标宋简体" w:hAnsi="方正小标宋简体" w:eastAsia="方正小标宋简体" w:cs="方正小标宋简体"/>
          <w:color w:val="auto"/>
          <w:sz w:val="36"/>
          <w:szCs w:val="36"/>
          <w:lang w:val="en-US" w:eastAsia="zh-CN"/>
        </w:rPr>
      </w:pPr>
    </w:p>
    <w:p>
      <w:pPr>
        <w:pStyle w:val="5"/>
        <w:keepNext w:val="0"/>
        <w:keepLines w:val="0"/>
        <w:pageBreakBefore w:val="0"/>
        <w:widowControl/>
        <w:kinsoku/>
        <w:wordWrap/>
        <w:overflowPunct/>
        <w:topLinePunct w:val="0"/>
        <w:autoSpaceDE/>
        <w:autoSpaceDN/>
        <w:bidi w:val="0"/>
        <w:adjustRightInd/>
        <w:snapToGrid/>
        <w:spacing w:line="620" w:lineRule="exact"/>
        <w:ind w:firstLine="0" w:firstLineChars="0"/>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夏县人民政府办公室</w:t>
      </w:r>
    </w:p>
    <w:p>
      <w:pPr>
        <w:pStyle w:val="5"/>
        <w:keepNext w:val="0"/>
        <w:keepLines w:val="0"/>
        <w:pageBreakBefore w:val="0"/>
        <w:widowControl/>
        <w:kinsoku/>
        <w:wordWrap/>
        <w:overflowPunct/>
        <w:topLinePunct w:val="0"/>
        <w:autoSpaceDE/>
        <w:autoSpaceDN/>
        <w:bidi w:val="0"/>
        <w:adjustRightInd/>
        <w:snapToGrid/>
        <w:spacing w:line="620" w:lineRule="exact"/>
        <w:ind w:firstLine="0" w:firstLineChars="0"/>
        <w:jc w:val="center"/>
        <w:textAlignment w:val="auto"/>
        <w:rPr>
          <w:rFonts w:hint="eastAsia" w:ascii="方正小标宋简体" w:hAnsi="方正小标宋简体" w:eastAsia="方正小标宋简体" w:cs="方正小标宋简体"/>
          <w:color w:val="auto"/>
          <w:sz w:val="44"/>
          <w:szCs w:val="44"/>
        </w:rPr>
      </w:pPr>
      <w:bookmarkStart w:id="0" w:name="_GoBack"/>
      <w:r>
        <w:rPr>
          <w:rFonts w:hint="eastAsia" w:ascii="方正小标宋简体" w:hAnsi="方正小标宋简体" w:eastAsia="方正小标宋简体" w:cs="方正小标宋简体"/>
          <w:color w:val="auto"/>
          <w:sz w:val="44"/>
          <w:szCs w:val="44"/>
          <w:lang w:val="en-US" w:eastAsia="zh-CN"/>
        </w:rPr>
        <w:t>2021</w:t>
      </w:r>
      <w:r>
        <w:rPr>
          <w:rFonts w:hint="eastAsia" w:ascii="方正小标宋简体" w:hAnsi="方正小标宋简体" w:eastAsia="方正小标宋简体" w:cs="方正小标宋简体"/>
          <w:color w:val="auto"/>
          <w:sz w:val="44"/>
          <w:szCs w:val="44"/>
        </w:rPr>
        <w:t>年政府信息公开工作</w:t>
      </w:r>
      <w:r>
        <w:rPr>
          <w:rFonts w:hint="eastAsia" w:ascii="方正小标宋简体" w:hAnsi="方正小标宋简体" w:eastAsia="方正小标宋简体" w:cs="方正小标宋简体"/>
          <w:color w:val="auto"/>
          <w:sz w:val="44"/>
          <w:szCs w:val="44"/>
          <w:lang w:eastAsia="zh-CN"/>
        </w:rPr>
        <w:t>年</w:t>
      </w:r>
      <w:r>
        <w:rPr>
          <w:rFonts w:hint="eastAsia" w:ascii="方正小标宋简体" w:hAnsi="方正小标宋简体" w:eastAsia="方正小标宋简体" w:cs="方正小标宋简体"/>
          <w:color w:val="auto"/>
          <w:sz w:val="44"/>
          <w:szCs w:val="44"/>
        </w:rPr>
        <w:t>度报告</w:t>
      </w:r>
    </w:p>
    <w:bookmarkEnd w:id="0"/>
    <w:p>
      <w:pPr>
        <w:pStyle w:val="5"/>
        <w:keepNext w:val="0"/>
        <w:keepLines w:val="0"/>
        <w:pageBreakBefore w:val="0"/>
        <w:widowControl/>
        <w:kinsoku/>
        <w:wordWrap/>
        <w:overflowPunct/>
        <w:topLinePunct w:val="0"/>
        <w:autoSpaceDE/>
        <w:autoSpaceDN/>
        <w:bidi w:val="0"/>
        <w:adjustRightInd/>
        <w:snapToGrid/>
        <w:spacing w:line="620" w:lineRule="exact"/>
        <w:ind w:firstLine="0" w:firstLineChars="0"/>
        <w:jc w:val="center"/>
        <w:textAlignment w:val="auto"/>
        <w:rPr>
          <w:rFonts w:hint="eastAsia" w:ascii="方正小标宋简体" w:hAnsi="方正小标宋简体" w:eastAsia="方正小标宋简体" w:cs="方正小标宋简体"/>
          <w:color w:val="auto"/>
          <w:sz w:val="36"/>
          <w:szCs w:val="36"/>
        </w:rPr>
      </w:pPr>
    </w:p>
    <w:p>
      <w:pPr>
        <w:pStyle w:val="5"/>
        <w:keepNext w:val="0"/>
        <w:keepLines w:val="0"/>
        <w:pageBreakBefore w:val="0"/>
        <w:widowControl/>
        <w:numPr>
          <w:ilvl w:val="0"/>
          <w:numId w:val="0"/>
        </w:numPr>
        <w:kinsoku/>
        <w:wordWrap/>
        <w:overflowPunct/>
        <w:topLinePunct w:val="0"/>
        <w:autoSpaceDE/>
        <w:autoSpaceDN/>
        <w:bidi w:val="0"/>
        <w:adjustRightInd/>
        <w:snapToGrid/>
        <w:spacing w:line="62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根据《中华人民共和国政府信息公开条例》（国务院令第</w:t>
      </w:r>
      <w:r>
        <w:rPr>
          <w:rFonts w:hint="eastAsia" w:ascii="仿宋_GB2312" w:hAnsi="仿宋_GB2312" w:eastAsia="仿宋_GB2312" w:cs="仿宋_GB2312"/>
          <w:color w:val="auto"/>
          <w:sz w:val="32"/>
          <w:szCs w:val="32"/>
          <w:lang w:val="en-US" w:eastAsia="zh-CN"/>
        </w:rPr>
        <w:t>711</w:t>
      </w:r>
      <w:r>
        <w:rPr>
          <w:rFonts w:hint="eastAsia" w:ascii="仿宋_GB2312" w:hAnsi="仿宋_GB2312" w:eastAsia="仿宋_GB2312" w:cs="仿宋_GB2312"/>
          <w:color w:val="auto"/>
          <w:sz w:val="32"/>
          <w:szCs w:val="32"/>
        </w:rPr>
        <w:t>号，以下简称《条例》）和《国务院办公厅政府信息与政务公开办公室关于印发&lt;中华人民共和国政府信息公开工作年度报告格式&gt;的通知》（国办公开办函〔2021〕30号）要求</w:t>
      </w:r>
      <w:r>
        <w:rPr>
          <w:rFonts w:hint="eastAsia" w:ascii="仿宋_GB2312" w:hAnsi="仿宋_GB2312" w:eastAsia="仿宋_GB2312" w:cs="仿宋_GB2312"/>
          <w:color w:val="auto"/>
          <w:sz w:val="32"/>
          <w:szCs w:val="32"/>
          <w:lang w:val="en-US" w:eastAsia="zh-CN"/>
        </w:rPr>
        <w:t>,现公布夏县人民政府办公室2021年政府信息公开工作年度报告。</w:t>
      </w:r>
    </w:p>
    <w:p>
      <w:pPr>
        <w:pStyle w:val="5"/>
        <w:keepNext w:val="0"/>
        <w:keepLines w:val="0"/>
        <w:pageBreakBefore w:val="0"/>
        <w:widowControl/>
        <w:numPr>
          <w:ilvl w:val="0"/>
          <w:numId w:val="0"/>
        </w:numPr>
        <w:kinsoku/>
        <w:wordWrap/>
        <w:overflowPunct/>
        <w:topLinePunct w:val="0"/>
        <w:autoSpaceDE/>
        <w:autoSpaceDN/>
        <w:bidi w:val="0"/>
        <w:adjustRightInd/>
        <w:snapToGrid/>
        <w:spacing w:line="62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本</w:t>
      </w:r>
      <w:r>
        <w:rPr>
          <w:rFonts w:hint="eastAsia" w:ascii="仿宋_GB2312" w:hAnsi="仿宋_GB2312" w:eastAsia="仿宋_GB2312" w:cs="仿宋_GB2312"/>
          <w:color w:val="auto"/>
          <w:sz w:val="32"/>
          <w:szCs w:val="32"/>
          <w:lang w:eastAsia="zh-CN"/>
        </w:rPr>
        <w:t>报告</w:t>
      </w:r>
      <w:r>
        <w:rPr>
          <w:rFonts w:hint="eastAsia" w:ascii="仿宋_GB2312" w:hAnsi="仿宋_GB2312" w:eastAsia="仿宋_GB2312" w:cs="仿宋_GB2312"/>
          <w:color w:val="auto"/>
          <w:sz w:val="32"/>
          <w:szCs w:val="32"/>
        </w:rPr>
        <w:t>包括总体情况、主动公开政府信息情况、收到和处理政府信息公开申请情况、政府信息公开行政复议</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rPr>
        <w:t>行政诉讼情况、政府信息公开工作存在的主要问题</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rPr>
        <w:t>改进情况、其他需要报告的事项</w:t>
      </w:r>
      <w:r>
        <w:rPr>
          <w:rFonts w:hint="eastAsia" w:ascii="仿宋_GB2312" w:hAnsi="仿宋_GB2312" w:eastAsia="仿宋_GB2312" w:cs="仿宋_GB2312"/>
          <w:color w:val="auto"/>
          <w:sz w:val="32"/>
          <w:szCs w:val="32"/>
          <w:lang w:eastAsia="zh-CN"/>
        </w:rPr>
        <w:t>六个部分</w:t>
      </w:r>
      <w:r>
        <w:rPr>
          <w:rFonts w:hint="eastAsia" w:ascii="仿宋_GB2312" w:hAnsi="仿宋_GB2312" w:eastAsia="仿宋_GB2312" w:cs="仿宋_GB2312"/>
          <w:color w:val="auto"/>
          <w:sz w:val="32"/>
          <w:szCs w:val="32"/>
        </w:rPr>
        <w:t>。报告中数据统计时限为202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年1月1日至</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02</w:t>
      </w:r>
      <w:r>
        <w:rPr>
          <w:rFonts w:hint="eastAsia" w:ascii="仿宋_GB2312" w:hAnsi="仿宋_GB2312" w:eastAsia="仿宋_GB2312" w:cs="仿宋_GB2312"/>
          <w:color w:val="auto"/>
          <w:sz w:val="32"/>
          <w:szCs w:val="32"/>
          <w:lang w:val="en-US" w:eastAsia="zh-CN"/>
        </w:rPr>
        <w:t>1年</w:t>
      </w:r>
      <w:r>
        <w:rPr>
          <w:rFonts w:hint="eastAsia" w:ascii="仿宋_GB2312" w:hAnsi="仿宋_GB2312" w:eastAsia="仿宋_GB2312" w:cs="仿宋_GB2312"/>
          <w:color w:val="auto"/>
          <w:sz w:val="32"/>
          <w:szCs w:val="32"/>
        </w:rPr>
        <w:t>12月31日。</w:t>
      </w:r>
      <w:r>
        <w:rPr>
          <w:rFonts w:hint="eastAsia" w:ascii="仿宋_GB2312" w:hAnsi="仿宋_GB2312" w:eastAsia="仿宋_GB2312" w:cs="仿宋_GB2312"/>
          <w:color w:val="auto"/>
          <w:sz w:val="32"/>
          <w:szCs w:val="32"/>
          <w:lang w:eastAsia="zh-CN"/>
        </w:rPr>
        <w:t>本报告的电子版可在“夏县人民政府”（http://www.sxxiaxian.gov.cn/）门户网站下载。</w:t>
      </w:r>
    </w:p>
    <w:p>
      <w:pPr>
        <w:pStyle w:val="5"/>
        <w:keepNext w:val="0"/>
        <w:keepLines w:val="0"/>
        <w:pageBreakBefore w:val="0"/>
        <w:widowControl/>
        <w:numPr>
          <w:ilvl w:val="0"/>
          <w:numId w:val="0"/>
        </w:numPr>
        <w:kinsoku/>
        <w:wordWrap/>
        <w:overflowPunct/>
        <w:topLinePunct w:val="0"/>
        <w:autoSpaceDE/>
        <w:autoSpaceDN/>
        <w:bidi w:val="0"/>
        <w:adjustRightInd/>
        <w:snapToGrid/>
        <w:spacing w:line="620" w:lineRule="exact"/>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 xml:space="preserve">一、总体情况 </w:t>
      </w:r>
    </w:p>
    <w:p>
      <w:pPr>
        <w:pStyle w:val="5"/>
        <w:keepNext w:val="0"/>
        <w:keepLines w:val="0"/>
        <w:pageBreakBefore w:val="0"/>
        <w:widowControl/>
        <w:numPr>
          <w:ilvl w:val="0"/>
          <w:numId w:val="0"/>
        </w:numPr>
        <w:kinsoku/>
        <w:wordWrap/>
        <w:overflowPunct/>
        <w:topLinePunct w:val="0"/>
        <w:autoSpaceDE/>
        <w:autoSpaceDN/>
        <w:bidi w:val="0"/>
        <w:adjustRightInd/>
        <w:snapToGrid/>
        <w:spacing w:line="62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2021年</w:t>
      </w:r>
      <w:r>
        <w:rPr>
          <w:rFonts w:hint="eastAsia" w:ascii="仿宋_GB2312" w:hAnsi="仿宋_GB2312" w:eastAsia="仿宋_GB2312" w:cs="仿宋_GB2312"/>
          <w:color w:val="auto"/>
          <w:sz w:val="32"/>
          <w:szCs w:val="32"/>
          <w:lang w:eastAsia="zh-CN"/>
        </w:rPr>
        <w:t>夏县人</w:t>
      </w:r>
      <w:r>
        <w:rPr>
          <w:rFonts w:hint="eastAsia" w:ascii="仿宋_GB2312" w:hAnsi="仿宋_GB2312" w:eastAsia="仿宋_GB2312" w:cs="仿宋_GB2312"/>
          <w:color w:val="auto"/>
          <w:sz w:val="32"/>
          <w:szCs w:val="32"/>
        </w:rPr>
        <w:t>民政府办公室坚持以习近平新时代中国特色社会主义思想为指导，全面贯彻党的</w:t>
      </w:r>
      <w:r>
        <w:rPr>
          <w:rFonts w:hint="eastAsia" w:ascii="仿宋_GB2312" w:hAnsi="仿宋_GB2312" w:eastAsia="仿宋_GB2312" w:cs="仿宋_GB2312"/>
          <w:color w:val="auto"/>
          <w:sz w:val="32"/>
          <w:szCs w:val="32"/>
          <w:lang w:eastAsia="zh-CN"/>
        </w:rPr>
        <w:t>十九大和</w:t>
      </w:r>
      <w:r>
        <w:rPr>
          <w:rFonts w:hint="eastAsia" w:ascii="仿宋_GB2312" w:hAnsi="仿宋_GB2312" w:eastAsia="仿宋_GB2312" w:cs="仿宋_GB2312"/>
          <w:color w:val="auto"/>
          <w:sz w:val="32"/>
          <w:szCs w:val="32"/>
        </w:rPr>
        <w:t>十九届</w:t>
      </w:r>
      <w:r>
        <w:rPr>
          <w:rFonts w:hint="eastAsia" w:ascii="仿宋_GB2312" w:hAnsi="仿宋_GB2312" w:eastAsia="仿宋_GB2312" w:cs="仿宋_GB2312"/>
          <w:color w:val="auto"/>
          <w:sz w:val="32"/>
          <w:szCs w:val="32"/>
          <w:lang w:eastAsia="zh-CN"/>
        </w:rPr>
        <w:t>历次</w:t>
      </w:r>
      <w:r>
        <w:rPr>
          <w:rFonts w:hint="eastAsia" w:ascii="仿宋_GB2312" w:hAnsi="仿宋_GB2312" w:eastAsia="仿宋_GB2312" w:cs="仿宋_GB2312"/>
          <w:color w:val="auto"/>
          <w:sz w:val="32"/>
          <w:szCs w:val="32"/>
        </w:rPr>
        <w:t>全会精神，深入贯彻落实习近平总书记视察山西重要讲话重要指示，严格执行《条例》和中央、省、市</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关于政务公开工作的部署要求，</w:t>
      </w:r>
      <w:r>
        <w:rPr>
          <w:rFonts w:hint="eastAsia" w:ascii="仿宋_GB2312" w:hAnsi="仿宋_GB2312" w:eastAsia="仿宋_GB2312" w:cs="仿宋_GB2312"/>
          <w:color w:val="auto"/>
          <w:sz w:val="32"/>
          <w:szCs w:val="32"/>
          <w:lang w:eastAsia="zh-CN"/>
        </w:rPr>
        <w:t>围绕全县中心工作，健全完善政务公开制度，强化公开责任落实，</w:t>
      </w:r>
      <w:r>
        <w:rPr>
          <w:rFonts w:hint="eastAsia" w:ascii="仿宋_GB2312" w:hAnsi="仿宋_GB2312" w:eastAsia="仿宋_GB2312" w:cs="仿宋_GB2312"/>
          <w:color w:val="auto"/>
          <w:sz w:val="32"/>
          <w:szCs w:val="32"/>
        </w:rPr>
        <w:t>以公开促落实、促规范、</w:t>
      </w:r>
      <w:r>
        <w:rPr>
          <w:rFonts w:hint="eastAsia" w:ascii="仿宋_GB2312" w:hAnsi="仿宋_GB2312" w:eastAsia="仿宋_GB2312" w:cs="仿宋_GB2312"/>
          <w:color w:val="auto"/>
          <w:sz w:val="32"/>
          <w:szCs w:val="32"/>
          <w:lang w:eastAsia="zh-CN"/>
        </w:rPr>
        <w:t>优</w:t>
      </w:r>
      <w:r>
        <w:rPr>
          <w:rFonts w:hint="eastAsia" w:ascii="仿宋_GB2312" w:hAnsi="仿宋_GB2312" w:eastAsia="仿宋_GB2312" w:cs="仿宋_GB2312"/>
          <w:color w:val="auto"/>
          <w:sz w:val="32"/>
          <w:szCs w:val="32"/>
        </w:rPr>
        <w:t>服务，政务公开</w:t>
      </w:r>
      <w:r>
        <w:rPr>
          <w:rFonts w:hint="eastAsia" w:ascii="仿宋_GB2312" w:hAnsi="仿宋_GB2312" w:eastAsia="仿宋_GB2312" w:cs="仿宋_GB2312"/>
          <w:color w:val="auto"/>
          <w:sz w:val="32"/>
          <w:szCs w:val="32"/>
          <w:lang w:eastAsia="zh-CN"/>
        </w:rPr>
        <w:t>工作</w:t>
      </w:r>
      <w:r>
        <w:rPr>
          <w:rFonts w:hint="eastAsia" w:ascii="仿宋_GB2312" w:hAnsi="仿宋_GB2312" w:eastAsia="仿宋_GB2312" w:cs="仿宋_GB2312"/>
          <w:color w:val="auto"/>
          <w:sz w:val="32"/>
          <w:szCs w:val="32"/>
        </w:rPr>
        <w:t>机制不断健全、公开范围不断扩大、平台建设更加规范、</w:t>
      </w:r>
      <w:r>
        <w:rPr>
          <w:rFonts w:hint="eastAsia" w:ascii="仿宋_GB2312" w:hAnsi="仿宋_GB2312" w:eastAsia="仿宋_GB2312" w:cs="仿宋_GB2312"/>
          <w:color w:val="auto"/>
          <w:sz w:val="32"/>
          <w:szCs w:val="32"/>
          <w:lang w:eastAsia="zh-CN"/>
        </w:rPr>
        <w:t>公开</w:t>
      </w:r>
      <w:r>
        <w:rPr>
          <w:rFonts w:hint="eastAsia" w:ascii="仿宋_GB2312" w:hAnsi="仿宋_GB2312" w:eastAsia="仿宋_GB2312" w:cs="仿宋_GB2312"/>
          <w:color w:val="auto"/>
          <w:sz w:val="32"/>
          <w:szCs w:val="32"/>
        </w:rPr>
        <w:t>流程全面优化、政务公开标准化规范化工作成效显著，公开能力和水平进一步提升</w:t>
      </w:r>
      <w:r>
        <w:rPr>
          <w:rFonts w:hint="eastAsia" w:ascii="仿宋_GB2312" w:hAnsi="仿宋_GB2312" w:eastAsia="仿宋_GB2312" w:cs="仿宋_GB2312"/>
          <w:color w:val="auto"/>
          <w:sz w:val="32"/>
          <w:szCs w:val="32"/>
          <w:lang w:eastAsia="zh-CN"/>
        </w:rPr>
        <w:t>，有力推动了法治政府、阳光政府、服务型政府的建设。</w:t>
      </w:r>
    </w:p>
    <w:p>
      <w:pPr>
        <w:keepNext w:val="0"/>
        <w:keepLines w:val="0"/>
        <w:pageBreakBefore w:val="0"/>
        <w:numPr>
          <w:ilvl w:val="0"/>
          <w:numId w:val="1"/>
        </w:numPr>
        <w:kinsoku/>
        <w:wordWrap/>
        <w:overflowPunct/>
        <w:topLinePunct w:val="0"/>
        <w:autoSpaceDE/>
        <w:autoSpaceDN/>
        <w:bidi w:val="0"/>
        <w:adjustRightInd/>
        <w:snapToGrid/>
        <w:spacing w:line="62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主动公开方面</w:t>
      </w:r>
    </w:p>
    <w:p>
      <w:pPr>
        <w:keepNext w:val="0"/>
        <w:keepLines w:val="0"/>
        <w:pageBreakBefore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完善</w:t>
      </w:r>
      <w:r>
        <w:rPr>
          <w:rFonts w:hint="eastAsia" w:ascii="仿宋_GB2312" w:hAnsi="仿宋_GB2312" w:eastAsia="仿宋_GB2312" w:cs="仿宋_GB2312"/>
          <w:color w:val="auto"/>
          <w:sz w:val="32"/>
          <w:szCs w:val="32"/>
        </w:rPr>
        <w:t>了公文公开属性认定制度，调整优化了发文流程。建立了文件属性动态调整机制，进一步扩大主动公开范围。</w:t>
      </w:r>
      <w:r>
        <w:rPr>
          <w:rFonts w:hint="eastAsia" w:ascii="仿宋_GB2312" w:hAnsi="仿宋_GB2312" w:eastAsia="仿宋_GB2312" w:cs="仿宋_GB2312"/>
          <w:color w:val="auto"/>
          <w:sz w:val="32"/>
          <w:szCs w:val="32"/>
          <w:lang w:val="en-US" w:eastAsia="zh-CN"/>
        </w:rPr>
        <w:t>2021年，</w:t>
      </w:r>
      <w:r>
        <w:rPr>
          <w:rFonts w:hint="eastAsia" w:ascii="仿宋_GB2312" w:hAnsi="仿宋_GB2312" w:eastAsia="仿宋_GB2312" w:cs="仿宋_GB2312"/>
          <w:color w:val="auto"/>
          <w:sz w:val="32"/>
          <w:szCs w:val="32"/>
          <w:lang w:eastAsia="zh-CN"/>
        </w:rPr>
        <w:t>夏县</w:t>
      </w:r>
      <w:r>
        <w:rPr>
          <w:rFonts w:hint="eastAsia" w:ascii="仿宋_GB2312" w:hAnsi="仿宋_GB2312" w:eastAsia="仿宋_GB2312" w:cs="仿宋_GB2312"/>
          <w:color w:val="auto"/>
          <w:sz w:val="32"/>
          <w:szCs w:val="32"/>
        </w:rPr>
        <w:t>人民政府门户网站</w:t>
      </w:r>
      <w:r>
        <w:rPr>
          <w:rFonts w:hint="eastAsia" w:ascii="仿宋_GB2312" w:hAnsi="仿宋_GB2312" w:eastAsia="仿宋_GB2312" w:cs="仿宋_GB2312"/>
          <w:color w:val="auto"/>
          <w:sz w:val="32"/>
          <w:szCs w:val="32"/>
          <w:lang w:eastAsia="zh-CN"/>
        </w:rPr>
        <w:t>共</w:t>
      </w:r>
      <w:r>
        <w:rPr>
          <w:rFonts w:hint="eastAsia" w:ascii="仿宋_GB2312" w:hAnsi="仿宋_GB2312" w:eastAsia="仿宋_GB2312" w:cs="仿宋_GB2312"/>
          <w:color w:val="auto"/>
          <w:sz w:val="32"/>
          <w:szCs w:val="32"/>
        </w:rPr>
        <w:t>发布信息</w:t>
      </w:r>
      <w:r>
        <w:rPr>
          <w:rFonts w:hint="eastAsia" w:ascii="仿宋_GB2312" w:hAnsi="仿宋_GB2312" w:eastAsia="仿宋_GB2312" w:cs="仿宋_GB2312"/>
          <w:color w:val="auto"/>
          <w:sz w:val="32"/>
          <w:szCs w:val="32"/>
          <w:lang w:val="en-US" w:eastAsia="zh-CN"/>
        </w:rPr>
        <w:t>3667</w:t>
      </w:r>
      <w:r>
        <w:rPr>
          <w:rFonts w:hint="eastAsia" w:ascii="仿宋_GB2312" w:hAnsi="仿宋_GB2312" w:eastAsia="仿宋_GB2312" w:cs="仿宋_GB2312"/>
          <w:color w:val="auto"/>
          <w:sz w:val="32"/>
          <w:szCs w:val="32"/>
        </w:rPr>
        <w:t>条，其中</w:t>
      </w:r>
      <w:r>
        <w:rPr>
          <w:rFonts w:hint="eastAsia" w:ascii="仿宋_GB2312" w:hAnsi="仿宋_GB2312" w:eastAsia="仿宋_GB2312" w:cs="仿宋_GB2312"/>
          <w:color w:val="auto"/>
          <w:sz w:val="32"/>
          <w:szCs w:val="32"/>
          <w:lang w:eastAsia="zh-CN"/>
        </w:rPr>
        <w:t>新闻中心</w:t>
      </w:r>
      <w:r>
        <w:rPr>
          <w:rFonts w:hint="eastAsia" w:ascii="仿宋_GB2312" w:hAnsi="仿宋_GB2312" w:eastAsia="仿宋_GB2312" w:cs="仿宋_GB2312"/>
          <w:color w:val="auto"/>
          <w:sz w:val="32"/>
          <w:szCs w:val="32"/>
          <w:lang w:val="en-US" w:eastAsia="zh-CN"/>
        </w:rPr>
        <w:t>1459条，政务公开1474条，专题专栏487条。全年共编发</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夏县人民政府公报</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4期，刊登</w:t>
      </w:r>
      <w:r>
        <w:rPr>
          <w:rFonts w:hint="eastAsia" w:ascii="仿宋_GB2312" w:hAnsi="仿宋_GB2312" w:eastAsia="仿宋_GB2312" w:cs="仿宋_GB2312"/>
          <w:color w:val="auto"/>
          <w:kern w:val="2"/>
          <w:sz w:val="32"/>
          <w:szCs w:val="32"/>
          <w:u w:val="none"/>
          <w:lang w:val="en-US" w:eastAsia="zh-CN" w:bidi="ar-SA"/>
        </w:rPr>
        <w:t>县政府工作报告1件</w:t>
      </w:r>
      <w:r>
        <w:rPr>
          <w:rFonts w:hint="eastAsia" w:ascii="仿宋_GB2312" w:hAnsi="仿宋_GB2312" w:eastAsia="仿宋_GB2312" w:cs="仿宋_GB2312"/>
          <w:color w:val="auto"/>
          <w:sz w:val="32"/>
          <w:szCs w:val="32"/>
          <w:lang w:val="en-US" w:eastAsia="zh-CN"/>
        </w:rPr>
        <w:t>，统计公报3期，重大会议信息公开21次，县政府文件11件，县政府办公室文件64件。</w:t>
      </w:r>
    </w:p>
    <w:p>
      <w:pPr>
        <w:keepNext w:val="0"/>
        <w:keepLines w:val="0"/>
        <w:pageBreakBefore w:val="0"/>
        <w:numPr>
          <w:ilvl w:val="0"/>
          <w:numId w:val="0"/>
        </w:numPr>
        <w:kinsoku/>
        <w:wordWrap/>
        <w:overflowPunct/>
        <w:topLinePunct w:val="0"/>
        <w:autoSpaceDE/>
        <w:autoSpaceDN/>
        <w:bidi w:val="0"/>
        <w:adjustRightInd/>
        <w:snapToGrid/>
        <w:spacing w:line="62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lang w:val="en-US" w:eastAsia="zh-CN"/>
        </w:rPr>
        <w:t>（二）依申请公开</w:t>
      </w:r>
      <w:r>
        <w:rPr>
          <w:rFonts w:hint="eastAsia" w:ascii="楷体_GB2312" w:hAnsi="楷体_GB2312" w:eastAsia="楷体_GB2312" w:cs="楷体_GB2312"/>
          <w:b/>
          <w:bCs/>
          <w:color w:val="auto"/>
          <w:sz w:val="32"/>
          <w:szCs w:val="32"/>
        </w:rPr>
        <w:t>方面</w:t>
      </w:r>
    </w:p>
    <w:p>
      <w:pPr>
        <w:pStyle w:val="5"/>
        <w:keepNext w:val="0"/>
        <w:keepLines w:val="0"/>
        <w:pageBreakBefore w:val="0"/>
        <w:widowControl/>
        <w:numPr>
          <w:ilvl w:val="0"/>
          <w:numId w:val="0"/>
        </w:numPr>
        <w:kinsoku/>
        <w:wordWrap/>
        <w:overflowPunct/>
        <w:topLinePunct w:val="0"/>
        <w:autoSpaceDE/>
        <w:autoSpaceDN/>
        <w:bidi w:val="0"/>
        <w:adjustRightInd/>
        <w:snapToGrid/>
        <w:spacing w:line="62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健全完善</w:t>
      </w:r>
      <w:r>
        <w:rPr>
          <w:rFonts w:hint="eastAsia" w:ascii="仿宋_GB2312" w:hAnsi="仿宋_GB2312" w:eastAsia="仿宋_GB2312" w:cs="仿宋_GB2312"/>
          <w:color w:val="auto"/>
          <w:sz w:val="32"/>
          <w:szCs w:val="32"/>
        </w:rPr>
        <w:t>了依申请公开内部流程机制，</w:t>
      </w:r>
      <w:r>
        <w:rPr>
          <w:rFonts w:hint="eastAsia" w:ascii="仿宋_GB2312" w:hAnsi="仿宋_GB2312" w:eastAsia="仿宋_GB2312" w:cs="仿宋_GB2312"/>
          <w:color w:val="auto"/>
          <w:sz w:val="32"/>
          <w:szCs w:val="32"/>
          <w:lang w:eastAsia="zh-CN"/>
        </w:rPr>
        <w:t>进一步完善</w:t>
      </w:r>
      <w:r>
        <w:rPr>
          <w:rFonts w:hint="eastAsia" w:ascii="仿宋_GB2312" w:hAnsi="仿宋_GB2312" w:eastAsia="仿宋_GB2312" w:cs="仿宋_GB2312"/>
          <w:color w:val="auto"/>
          <w:sz w:val="32"/>
          <w:szCs w:val="32"/>
        </w:rPr>
        <w:t>了政府信息公开指南、依申请公开制度、处理流程图，严格按照登记、受理、补正、征求意见、提出办理意见、作出决定、报批、送达等依申请公开程序，建立了内部办理流程，进一步规范了依申请公开工作，保障了申请人权利。</w:t>
      </w:r>
      <w:r>
        <w:rPr>
          <w:rFonts w:hint="eastAsia" w:ascii="仿宋_GB2312" w:hAnsi="仿宋_GB2312" w:eastAsia="仿宋_GB2312" w:cs="仿宋_GB2312"/>
          <w:color w:val="auto"/>
          <w:sz w:val="32"/>
          <w:szCs w:val="32"/>
          <w:lang w:val="en-US" w:eastAsia="zh-CN"/>
        </w:rPr>
        <w:t>2021</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eastAsia="zh-CN"/>
        </w:rPr>
        <w:t>共</w:t>
      </w:r>
      <w:r>
        <w:rPr>
          <w:rFonts w:hint="eastAsia" w:ascii="仿宋_GB2312" w:hAnsi="仿宋_GB2312" w:eastAsia="仿宋_GB2312" w:cs="仿宋_GB2312"/>
          <w:color w:val="auto"/>
          <w:sz w:val="32"/>
          <w:szCs w:val="32"/>
        </w:rPr>
        <w:t>收到和办理依申请公开</w:t>
      </w:r>
      <w:r>
        <w:rPr>
          <w:rFonts w:hint="eastAsia" w:ascii="仿宋_GB2312" w:hAnsi="仿宋_GB2312" w:eastAsia="仿宋_GB2312" w:cs="仿宋_GB2312"/>
          <w:color w:val="auto"/>
          <w:sz w:val="32"/>
          <w:szCs w:val="32"/>
          <w:lang w:val="en-US" w:eastAsia="zh-CN"/>
        </w:rPr>
        <w:t>0件</w:t>
      </w:r>
      <w:r>
        <w:rPr>
          <w:rFonts w:hint="eastAsia" w:ascii="仿宋_GB2312" w:hAnsi="仿宋_GB2312" w:eastAsia="仿宋_GB2312" w:cs="仿宋_GB2312"/>
          <w:color w:val="auto"/>
          <w:sz w:val="32"/>
          <w:szCs w:val="32"/>
          <w:lang w:eastAsia="zh-CN"/>
        </w:rPr>
        <w:t>，转入下一年处理</w:t>
      </w:r>
      <w:r>
        <w:rPr>
          <w:rFonts w:hint="eastAsia" w:ascii="仿宋_GB2312" w:hAnsi="仿宋_GB2312" w:eastAsia="仿宋_GB2312" w:cs="仿宋_GB2312"/>
          <w:color w:val="auto"/>
          <w:sz w:val="32"/>
          <w:szCs w:val="32"/>
          <w:lang w:val="en-US" w:eastAsia="zh-CN"/>
        </w:rPr>
        <w:t>0件。</w:t>
      </w:r>
    </w:p>
    <w:p>
      <w:pPr>
        <w:pStyle w:val="5"/>
        <w:keepNext w:val="0"/>
        <w:keepLines w:val="0"/>
        <w:pageBreakBefore w:val="0"/>
        <w:widowControl/>
        <w:numPr>
          <w:ilvl w:val="0"/>
          <w:numId w:val="0"/>
        </w:numPr>
        <w:kinsoku/>
        <w:wordWrap/>
        <w:overflowPunct/>
        <w:topLinePunct w:val="0"/>
        <w:autoSpaceDE/>
        <w:autoSpaceDN/>
        <w:bidi w:val="0"/>
        <w:adjustRightInd/>
        <w:snapToGrid/>
        <w:spacing w:line="620" w:lineRule="exact"/>
        <w:ind w:firstLine="643" w:firstLineChars="200"/>
        <w:jc w:val="both"/>
        <w:textAlignment w:val="auto"/>
        <w:rPr>
          <w:rFonts w:hint="eastAsia" w:ascii="楷体_GB2312" w:hAnsi="楷体_GB2312" w:eastAsia="楷体_GB2312" w:cs="楷体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（三）</w:t>
      </w:r>
      <w:r>
        <w:rPr>
          <w:rFonts w:hint="eastAsia" w:ascii="楷体_GB2312" w:hAnsi="楷体_GB2312" w:eastAsia="楷体_GB2312" w:cs="楷体_GB2312"/>
          <w:b/>
          <w:bCs/>
          <w:color w:val="auto"/>
          <w:sz w:val="32"/>
          <w:szCs w:val="32"/>
        </w:rPr>
        <w:t>政府信息管理方面</w:t>
      </w:r>
      <w:r>
        <w:rPr>
          <w:rFonts w:hint="eastAsia" w:ascii="楷体_GB2312" w:hAnsi="楷体_GB2312" w:eastAsia="楷体_GB2312" w:cs="楷体_GB2312"/>
          <w:b/>
          <w:bCs/>
          <w:color w:val="auto"/>
          <w:sz w:val="32"/>
          <w:szCs w:val="32"/>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制定</w:t>
      </w:r>
      <w:r>
        <w:rPr>
          <w:rFonts w:hint="eastAsia" w:ascii="仿宋_GB2312" w:hAnsi="仿宋_GB2312" w:eastAsia="仿宋_GB2312" w:cs="仿宋_GB2312"/>
          <w:color w:val="auto"/>
          <w:sz w:val="32"/>
          <w:szCs w:val="32"/>
          <w:lang w:eastAsia="zh-CN"/>
        </w:rPr>
        <w:t>下</w:t>
      </w:r>
      <w:r>
        <w:rPr>
          <w:rFonts w:hint="eastAsia" w:ascii="仿宋_GB2312" w:hAnsi="仿宋_GB2312" w:eastAsia="仿宋_GB2312" w:cs="仿宋_GB2312"/>
          <w:color w:val="auto"/>
          <w:sz w:val="32"/>
          <w:szCs w:val="32"/>
        </w:rPr>
        <w:t>发了《</w:t>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HYPERLINK "http://www.sxxiaxian.gov.cn/doc/2021/09/26/10508357.shtml" \o "夏县人民政府办公室关于印发夏县2021年政务公开工作要点的通知" \t "http://www.sxxiaxian.gov.cn/zfxxgk/fdzdgknr/zfwj/xzfbgswj/_blank"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夏县人民政府办公室关于印发夏县2021年政务公开工作要点的通知</w:t>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HYPERLINK "http://www.sxxiaxian.gov.cn/doc/2021/11/08/157971.shtml" \o "夏县人民政府办公室关于印发夏县2021年度政务公开工作 考核方案的通知" \t "http://www.sxxiaxian.gov.cn/zfxxgk/fdzdgknr/zfwj/xzfbgswj/_blank"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夏县人民政府办公室关于印发夏县2021年度政务公开工作考核方案</w:t>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lang w:eastAsia="zh-CN"/>
        </w:rPr>
        <w:t>的通知</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及时调整了</w:t>
      </w:r>
      <w:r>
        <w:rPr>
          <w:rFonts w:hint="eastAsia" w:ascii="仿宋_GB2312" w:hAnsi="仿宋_GB2312" w:eastAsia="仿宋_GB2312" w:cs="仿宋_GB2312"/>
          <w:color w:val="auto"/>
          <w:sz w:val="32"/>
          <w:szCs w:val="32"/>
          <w:lang w:eastAsia="zh-CN"/>
        </w:rPr>
        <w:t>夏县</w:t>
      </w:r>
      <w:r>
        <w:rPr>
          <w:rFonts w:hint="eastAsia" w:ascii="仿宋_GB2312" w:hAnsi="仿宋_GB2312" w:eastAsia="仿宋_GB2312" w:cs="仿宋_GB2312"/>
          <w:color w:val="auto"/>
          <w:sz w:val="32"/>
          <w:szCs w:val="32"/>
        </w:rPr>
        <w:t>政务公开领导</w:t>
      </w:r>
      <w:r>
        <w:rPr>
          <w:rFonts w:hint="eastAsia" w:ascii="仿宋_GB2312" w:hAnsi="仿宋_GB2312" w:eastAsia="仿宋_GB2312" w:cs="仿宋_GB2312"/>
          <w:color w:val="auto"/>
          <w:sz w:val="32"/>
          <w:szCs w:val="32"/>
          <w:lang w:eastAsia="zh-CN"/>
        </w:rPr>
        <w:t>小</w:t>
      </w:r>
      <w:r>
        <w:rPr>
          <w:rFonts w:hint="eastAsia" w:ascii="仿宋_GB2312" w:hAnsi="仿宋_GB2312" w:eastAsia="仿宋_GB2312" w:cs="仿宋_GB2312"/>
          <w:color w:val="auto"/>
          <w:sz w:val="32"/>
          <w:szCs w:val="32"/>
        </w:rPr>
        <w:t>组</w:t>
      </w:r>
      <w:r>
        <w:rPr>
          <w:rFonts w:hint="eastAsia" w:ascii="仿宋_GB2312" w:hAnsi="仿宋_GB2312" w:eastAsia="仿宋_GB2312" w:cs="仿宋_GB2312"/>
          <w:color w:val="auto"/>
          <w:sz w:val="32"/>
          <w:szCs w:val="32"/>
          <w:lang w:eastAsia="zh-CN"/>
        </w:rPr>
        <w:t>成员。</w:t>
      </w:r>
      <w:r>
        <w:rPr>
          <w:rFonts w:hint="eastAsia" w:ascii="仿宋_GB2312" w:hAnsi="仿宋_GB2312" w:eastAsia="仿宋_GB2312" w:cs="仿宋_GB2312"/>
          <w:color w:val="auto"/>
          <w:sz w:val="32"/>
          <w:szCs w:val="32"/>
        </w:rPr>
        <w:t>召开了</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政务公开</w:t>
      </w:r>
      <w:r>
        <w:rPr>
          <w:rFonts w:hint="eastAsia" w:ascii="仿宋_GB2312" w:hAnsi="仿宋_GB2312" w:eastAsia="仿宋_GB2312" w:cs="仿宋_GB2312"/>
          <w:color w:val="auto"/>
          <w:sz w:val="32"/>
          <w:szCs w:val="32"/>
          <w:lang w:eastAsia="zh-CN"/>
        </w:rPr>
        <w:t>领导小组专题会议</w:t>
      </w:r>
      <w:r>
        <w:rPr>
          <w:rFonts w:hint="eastAsia" w:ascii="仿宋_GB2312" w:hAnsi="仿宋_GB2312" w:eastAsia="仿宋_GB2312" w:cs="仿宋_GB2312"/>
          <w:color w:val="auto"/>
          <w:sz w:val="32"/>
          <w:szCs w:val="32"/>
          <w:lang w:val="en-US" w:eastAsia="zh-CN"/>
        </w:rPr>
        <w:t>6次，形成会议纪要6件，召开政务公开</w:t>
      </w:r>
      <w:r>
        <w:rPr>
          <w:rFonts w:hint="eastAsia" w:ascii="仿宋_GB2312" w:hAnsi="仿宋_GB2312" w:eastAsia="仿宋_GB2312" w:cs="仿宋_GB2312"/>
          <w:color w:val="auto"/>
          <w:sz w:val="32"/>
          <w:szCs w:val="32"/>
        </w:rPr>
        <w:t>工作推进会</w:t>
      </w:r>
      <w:r>
        <w:rPr>
          <w:rFonts w:hint="eastAsia" w:ascii="仿宋_GB2312" w:hAnsi="仿宋_GB2312" w:eastAsia="仿宋_GB2312" w:cs="仿宋_GB2312"/>
          <w:color w:val="auto"/>
          <w:sz w:val="32"/>
          <w:szCs w:val="32"/>
          <w:lang w:val="en-US" w:eastAsia="zh-CN"/>
        </w:rPr>
        <w:t>1次，</w:t>
      </w:r>
      <w:r>
        <w:rPr>
          <w:rFonts w:hint="eastAsia" w:ascii="仿宋_GB2312" w:hAnsi="仿宋_GB2312" w:eastAsia="仿宋_GB2312" w:cs="仿宋_GB2312"/>
          <w:color w:val="auto"/>
          <w:sz w:val="32"/>
          <w:szCs w:val="32"/>
          <w:lang w:eastAsia="zh-CN"/>
        </w:rPr>
        <w:t>通过电话、微信集中督促指导政务公开工作</w:t>
      </w:r>
      <w:r>
        <w:rPr>
          <w:rFonts w:hint="eastAsia" w:ascii="仿宋_GB2312" w:hAnsi="仿宋_GB2312" w:eastAsia="仿宋_GB2312" w:cs="仿宋_GB2312"/>
          <w:color w:val="auto"/>
          <w:sz w:val="32"/>
          <w:szCs w:val="32"/>
          <w:lang w:val="en-US" w:eastAsia="zh-CN"/>
        </w:rPr>
        <w:t>10余次，召开</w:t>
      </w:r>
      <w:r>
        <w:rPr>
          <w:rFonts w:hint="eastAsia" w:ascii="仿宋_GB2312" w:hAnsi="仿宋_GB2312" w:eastAsia="仿宋_GB2312" w:cs="仿宋_GB2312"/>
          <w:color w:val="auto"/>
          <w:sz w:val="32"/>
          <w:szCs w:val="32"/>
          <w:lang w:eastAsia="zh-CN"/>
        </w:rPr>
        <w:t>全县政府网站</w:t>
      </w:r>
      <w:r>
        <w:rPr>
          <w:rFonts w:hint="eastAsia" w:ascii="仿宋_GB2312" w:hAnsi="仿宋_GB2312" w:eastAsia="仿宋_GB2312" w:cs="仿宋_GB2312"/>
          <w:color w:val="auto"/>
          <w:sz w:val="32"/>
          <w:szCs w:val="32"/>
        </w:rPr>
        <w:t>培训</w:t>
      </w:r>
      <w:r>
        <w:rPr>
          <w:rFonts w:hint="eastAsia" w:ascii="仿宋_GB2312" w:hAnsi="仿宋_GB2312" w:eastAsia="仿宋_GB2312" w:cs="仿宋_GB2312"/>
          <w:color w:val="auto"/>
          <w:sz w:val="32"/>
          <w:szCs w:val="32"/>
          <w:lang w:eastAsia="zh-CN"/>
        </w:rPr>
        <w:t>工作</w:t>
      </w:r>
      <w:r>
        <w:rPr>
          <w:rFonts w:hint="eastAsia" w:ascii="仿宋_GB2312" w:hAnsi="仿宋_GB2312" w:eastAsia="仿宋_GB2312" w:cs="仿宋_GB2312"/>
          <w:color w:val="auto"/>
          <w:sz w:val="32"/>
          <w:szCs w:val="32"/>
        </w:rPr>
        <w:t>会</w:t>
      </w:r>
      <w:r>
        <w:rPr>
          <w:rFonts w:hint="eastAsia" w:ascii="仿宋_GB2312" w:hAnsi="仿宋_GB2312" w:eastAsia="仿宋_GB2312" w:cs="仿宋_GB2312"/>
          <w:color w:val="auto"/>
          <w:sz w:val="32"/>
          <w:szCs w:val="32"/>
          <w:lang w:val="en-US" w:eastAsia="zh-CN"/>
        </w:rPr>
        <w:t>1次</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全面提升了我县政务公开工作能力和水平。</w:t>
      </w:r>
      <w:r>
        <w:rPr>
          <w:rFonts w:hint="eastAsia" w:ascii="仿宋_GB2312" w:hAnsi="仿宋_GB2312" w:eastAsia="仿宋_GB2312" w:cs="仿宋_GB2312"/>
          <w:color w:val="auto"/>
          <w:sz w:val="32"/>
          <w:szCs w:val="32"/>
        </w:rPr>
        <w:t>同时，</w:t>
      </w:r>
      <w:r>
        <w:rPr>
          <w:rFonts w:hint="eastAsia" w:ascii="仿宋_GB2312" w:hAnsi="仿宋_GB2312" w:eastAsia="仿宋_GB2312" w:cs="仿宋_GB2312"/>
          <w:color w:val="auto"/>
          <w:sz w:val="32"/>
          <w:szCs w:val="32"/>
          <w:lang w:eastAsia="zh-CN"/>
        </w:rPr>
        <w:t>进一步规范公开保密审查流程，</w:t>
      </w:r>
      <w:r>
        <w:rPr>
          <w:rFonts w:hint="eastAsia" w:ascii="仿宋_GB2312" w:hAnsi="仿宋_GB2312" w:eastAsia="仿宋_GB2312" w:cs="仿宋_GB2312"/>
          <w:color w:val="auto"/>
          <w:sz w:val="32"/>
          <w:szCs w:val="32"/>
        </w:rPr>
        <w:t>按照“谁起草、谁解读”原则，</w:t>
      </w:r>
      <w:r>
        <w:rPr>
          <w:rFonts w:hint="eastAsia" w:ascii="仿宋_GB2312" w:hAnsi="仿宋_GB2312" w:eastAsia="仿宋_GB2312" w:cs="仿宋_GB2312"/>
          <w:color w:val="auto"/>
          <w:sz w:val="32"/>
          <w:szCs w:val="32"/>
          <w:lang w:eastAsia="zh-CN"/>
        </w:rPr>
        <w:t>加大</w:t>
      </w:r>
      <w:r>
        <w:rPr>
          <w:rFonts w:hint="eastAsia" w:ascii="仿宋_GB2312" w:hAnsi="仿宋_GB2312" w:eastAsia="仿宋_GB2312" w:cs="仿宋_GB2312"/>
          <w:color w:val="auto"/>
          <w:sz w:val="32"/>
          <w:szCs w:val="32"/>
        </w:rPr>
        <w:t>政策</w:t>
      </w:r>
      <w:r>
        <w:rPr>
          <w:rFonts w:hint="eastAsia" w:ascii="仿宋_GB2312" w:hAnsi="仿宋_GB2312" w:eastAsia="仿宋_GB2312" w:cs="仿宋_GB2312"/>
          <w:color w:val="auto"/>
          <w:sz w:val="32"/>
          <w:szCs w:val="32"/>
          <w:lang w:eastAsia="zh-CN"/>
        </w:rPr>
        <w:t>多样化</w:t>
      </w:r>
      <w:r>
        <w:rPr>
          <w:rFonts w:hint="eastAsia" w:ascii="仿宋_GB2312" w:hAnsi="仿宋_GB2312" w:eastAsia="仿宋_GB2312" w:cs="仿宋_GB2312"/>
          <w:color w:val="auto"/>
          <w:sz w:val="32"/>
          <w:szCs w:val="32"/>
        </w:rPr>
        <w:t>解读</w:t>
      </w:r>
      <w:r>
        <w:rPr>
          <w:rFonts w:hint="eastAsia" w:ascii="仿宋_GB2312" w:hAnsi="仿宋_GB2312" w:eastAsia="仿宋_GB2312" w:cs="仿宋_GB2312"/>
          <w:color w:val="auto"/>
          <w:sz w:val="32"/>
          <w:szCs w:val="32"/>
          <w:lang w:eastAsia="zh-CN"/>
        </w:rPr>
        <w:t>力度</w:t>
      </w: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年共解读</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政府</w:t>
      </w:r>
      <w:r>
        <w:rPr>
          <w:rFonts w:hint="eastAsia" w:ascii="仿宋_GB2312" w:hAnsi="仿宋_GB2312" w:eastAsia="仿宋_GB2312" w:cs="仿宋_GB2312"/>
          <w:color w:val="auto"/>
          <w:sz w:val="32"/>
          <w:szCs w:val="32"/>
          <w:lang w:eastAsia="zh-CN"/>
        </w:rPr>
        <w:t>文件</w:t>
      </w:r>
      <w:r>
        <w:rPr>
          <w:rFonts w:hint="eastAsia" w:ascii="仿宋_GB2312" w:hAnsi="仿宋_GB2312" w:eastAsia="仿宋_GB2312" w:cs="仿宋_GB2312"/>
          <w:color w:val="auto"/>
          <w:sz w:val="32"/>
          <w:szCs w:val="32"/>
          <w:lang w:val="en-US" w:eastAsia="zh-CN"/>
        </w:rPr>
        <w:t>11件，以</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政府办公室</w:t>
      </w:r>
      <w:r>
        <w:rPr>
          <w:rFonts w:hint="eastAsia" w:ascii="仿宋_GB2312" w:hAnsi="仿宋_GB2312" w:eastAsia="仿宋_GB2312" w:cs="仿宋_GB2312"/>
          <w:color w:val="auto"/>
          <w:sz w:val="32"/>
          <w:szCs w:val="32"/>
          <w:lang w:eastAsia="zh-CN"/>
        </w:rPr>
        <w:t>名义印发</w:t>
      </w:r>
      <w:r>
        <w:rPr>
          <w:rFonts w:hint="eastAsia" w:ascii="仿宋_GB2312" w:hAnsi="仿宋_GB2312" w:eastAsia="仿宋_GB2312" w:cs="仿宋_GB2312"/>
          <w:color w:val="auto"/>
          <w:sz w:val="32"/>
          <w:szCs w:val="32"/>
        </w:rPr>
        <w:t>文件</w:t>
      </w:r>
      <w:r>
        <w:rPr>
          <w:rFonts w:hint="eastAsia" w:ascii="仿宋_GB2312" w:hAnsi="仿宋_GB2312" w:eastAsia="仿宋_GB2312" w:cs="仿宋_GB2312"/>
          <w:color w:val="auto"/>
          <w:sz w:val="32"/>
          <w:szCs w:val="32"/>
          <w:lang w:val="en-US" w:eastAsia="zh-CN"/>
        </w:rPr>
        <w:t>64</w:t>
      </w:r>
      <w:r>
        <w:rPr>
          <w:rFonts w:hint="eastAsia" w:ascii="仿宋_GB2312" w:hAnsi="仿宋_GB2312" w:eastAsia="仿宋_GB2312" w:cs="仿宋_GB2312"/>
          <w:color w:val="auto"/>
          <w:sz w:val="32"/>
          <w:szCs w:val="32"/>
        </w:rPr>
        <w:t>件，</w:t>
      </w:r>
      <w:r>
        <w:rPr>
          <w:rFonts w:hint="eastAsia" w:ascii="仿宋_GB2312" w:hAnsi="仿宋_GB2312" w:eastAsia="仿宋_GB2312" w:cs="仿宋_GB2312"/>
          <w:color w:val="auto"/>
          <w:sz w:val="32"/>
          <w:szCs w:val="32"/>
          <w:lang w:eastAsia="zh-CN"/>
        </w:rPr>
        <w:t>多样化</w:t>
      </w:r>
      <w:r>
        <w:rPr>
          <w:rFonts w:hint="eastAsia" w:ascii="仿宋_GB2312" w:hAnsi="仿宋_GB2312" w:eastAsia="仿宋_GB2312" w:cs="仿宋_GB2312"/>
          <w:color w:val="auto"/>
          <w:sz w:val="32"/>
          <w:szCs w:val="32"/>
        </w:rPr>
        <w:t>解读率达到</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全年共办理回复领导信箱</w:t>
      </w:r>
      <w:r>
        <w:rPr>
          <w:rFonts w:hint="eastAsia" w:ascii="仿宋_GB2312" w:hAnsi="仿宋_GB2312" w:eastAsia="仿宋_GB2312" w:cs="仿宋_GB2312"/>
          <w:color w:val="auto"/>
          <w:sz w:val="32"/>
          <w:szCs w:val="32"/>
          <w:lang w:val="en-US" w:eastAsia="zh-CN"/>
        </w:rPr>
        <w:t>72件，其中</w:t>
      </w:r>
      <w:r>
        <w:rPr>
          <w:rFonts w:hint="eastAsia" w:ascii="仿宋_GB2312" w:hAnsi="仿宋_GB2312" w:eastAsia="仿宋_GB2312" w:cs="仿宋_GB2312"/>
          <w:color w:val="auto"/>
          <w:sz w:val="32"/>
          <w:szCs w:val="32"/>
          <w:lang w:eastAsia="zh-CN"/>
        </w:rPr>
        <w:t>书记信箱</w:t>
      </w:r>
      <w:r>
        <w:rPr>
          <w:rFonts w:hint="eastAsia" w:ascii="仿宋_GB2312" w:hAnsi="仿宋_GB2312" w:eastAsia="仿宋_GB2312" w:cs="仿宋_GB2312"/>
          <w:color w:val="auto"/>
          <w:sz w:val="32"/>
          <w:szCs w:val="32"/>
          <w:lang w:val="en-US" w:eastAsia="zh-CN"/>
        </w:rPr>
        <w:t>27件</w:t>
      </w:r>
      <w:r>
        <w:rPr>
          <w:rFonts w:hint="eastAsia" w:ascii="仿宋_GB2312" w:hAnsi="仿宋_GB2312" w:eastAsia="仿宋_GB2312" w:cs="仿宋_GB2312"/>
          <w:color w:val="auto"/>
          <w:sz w:val="32"/>
          <w:szCs w:val="32"/>
          <w:lang w:eastAsia="zh-CN"/>
        </w:rPr>
        <w:t>、县长</w:t>
      </w:r>
      <w:r>
        <w:rPr>
          <w:rFonts w:hint="eastAsia" w:ascii="仿宋_GB2312" w:hAnsi="仿宋_GB2312" w:eastAsia="仿宋_GB2312" w:cs="仿宋_GB2312"/>
          <w:color w:val="auto"/>
          <w:sz w:val="32"/>
          <w:szCs w:val="32"/>
        </w:rPr>
        <w:t>信箱</w:t>
      </w:r>
      <w:r>
        <w:rPr>
          <w:rFonts w:hint="eastAsia" w:ascii="仿宋_GB2312" w:hAnsi="仿宋_GB2312" w:eastAsia="仿宋_GB2312" w:cs="仿宋_GB2312"/>
          <w:color w:val="auto"/>
          <w:sz w:val="32"/>
          <w:szCs w:val="32"/>
          <w:lang w:val="en-US" w:eastAsia="zh-CN"/>
        </w:rPr>
        <w:t>45件</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办理答复率达</w:t>
      </w:r>
      <w:r>
        <w:rPr>
          <w:rFonts w:hint="eastAsia" w:ascii="仿宋_GB2312" w:hAnsi="仿宋_GB2312" w:eastAsia="仿宋_GB2312" w:cs="仿宋_GB2312"/>
          <w:color w:val="auto"/>
          <w:sz w:val="32"/>
          <w:szCs w:val="32"/>
          <w:lang w:val="en-US" w:eastAsia="zh-CN"/>
        </w:rPr>
        <w:t>100%，群众</w:t>
      </w:r>
      <w:r>
        <w:rPr>
          <w:rFonts w:hint="eastAsia" w:ascii="仿宋_GB2312" w:hAnsi="仿宋_GB2312" w:eastAsia="仿宋_GB2312" w:cs="仿宋_GB2312"/>
          <w:color w:val="auto"/>
          <w:sz w:val="32"/>
          <w:szCs w:val="32"/>
        </w:rPr>
        <w:t xml:space="preserve">满意度不断提升。 </w:t>
      </w:r>
    </w:p>
    <w:p>
      <w:pPr>
        <w:pStyle w:val="5"/>
        <w:keepNext w:val="0"/>
        <w:keepLines w:val="0"/>
        <w:pageBreakBefore w:val="0"/>
        <w:widowControl/>
        <w:numPr>
          <w:ilvl w:val="0"/>
          <w:numId w:val="0"/>
        </w:numPr>
        <w:kinsoku/>
        <w:wordWrap/>
        <w:overflowPunct/>
        <w:topLinePunct w:val="0"/>
        <w:autoSpaceDE/>
        <w:autoSpaceDN/>
        <w:bidi w:val="0"/>
        <w:adjustRightInd/>
        <w:snapToGrid/>
        <w:spacing w:line="620" w:lineRule="exact"/>
        <w:ind w:leftChars="200" w:firstLine="321" w:firstLineChars="100"/>
        <w:jc w:val="both"/>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lang w:eastAsia="zh-CN"/>
        </w:rPr>
        <w:t>（四）</w:t>
      </w:r>
      <w:r>
        <w:rPr>
          <w:rFonts w:hint="eastAsia" w:ascii="楷体_GB2312" w:hAnsi="楷体_GB2312" w:eastAsia="楷体_GB2312" w:cs="楷体_GB2312"/>
          <w:b/>
          <w:bCs/>
          <w:color w:val="auto"/>
          <w:sz w:val="32"/>
          <w:szCs w:val="32"/>
        </w:rPr>
        <w:t>平台建设方面</w:t>
      </w:r>
    </w:p>
    <w:p>
      <w:pPr>
        <w:pStyle w:val="5"/>
        <w:keepNext w:val="0"/>
        <w:keepLines w:val="0"/>
        <w:pageBreakBefore w:val="0"/>
        <w:widowControl/>
        <w:numPr>
          <w:ilvl w:val="0"/>
          <w:numId w:val="0"/>
        </w:numPr>
        <w:kinsoku/>
        <w:wordWrap/>
        <w:overflowPunct/>
        <w:topLinePunct w:val="0"/>
        <w:autoSpaceDE/>
        <w:autoSpaceDN/>
        <w:bidi w:val="0"/>
        <w:adjustRightInd/>
        <w:snapToGrid/>
        <w:spacing w:line="620" w:lineRule="exact"/>
        <w:ind w:firstLine="643" w:firstLineChars="200"/>
        <w:jc w:val="both"/>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bCs/>
          <w:color w:val="auto"/>
          <w:sz w:val="32"/>
          <w:szCs w:val="32"/>
          <w:lang w:eastAsia="zh-CN"/>
        </w:rPr>
        <w:t>一是</w:t>
      </w:r>
      <w:r>
        <w:rPr>
          <w:rFonts w:hint="eastAsia" w:ascii="仿宋_GB2312" w:hAnsi="仿宋_GB2312" w:eastAsia="仿宋_GB2312" w:cs="仿宋_GB2312"/>
          <w:color w:val="auto"/>
          <w:sz w:val="32"/>
          <w:szCs w:val="32"/>
        </w:rPr>
        <w:t>完成了政府门户网站 IPv6 改造</w:t>
      </w:r>
      <w:r>
        <w:rPr>
          <w:rFonts w:hint="eastAsia" w:ascii="仿宋_GB2312" w:hAnsi="仿宋_GB2312" w:eastAsia="仿宋_GB2312" w:cs="仿宋_GB2312"/>
          <w:color w:val="auto"/>
          <w:sz w:val="32"/>
          <w:szCs w:val="32"/>
          <w:lang w:eastAsia="zh-CN"/>
        </w:rPr>
        <w:t>和县政府网站</w:t>
      </w:r>
      <w:r>
        <w:rPr>
          <w:rFonts w:hint="eastAsia" w:ascii="仿宋_GB2312" w:hAnsi="仿宋_GB2312" w:eastAsia="仿宋_GB2312" w:cs="仿宋_GB2312"/>
          <w:color w:val="auto"/>
          <w:sz w:val="32"/>
          <w:szCs w:val="32"/>
        </w:rPr>
        <w:t>集约化建设</w:t>
      </w:r>
      <w:r>
        <w:rPr>
          <w:rFonts w:hint="eastAsia" w:ascii="仿宋_GB2312" w:hAnsi="仿宋_GB2312" w:eastAsia="仿宋_GB2312" w:cs="仿宋_GB2312"/>
          <w:color w:val="auto"/>
          <w:sz w:val="32"/>
          <w:szCs w:val="32"/>
          <w:lang w:eastAsia="zh-CN"/>
        </w:rPr>
        <w:t>工作；</w:t>
      </w:r>
      <w:r>
        <w:rPr>
          <w:rFonts w:hint="eastAsia" w:ascii="仿宋_GB2312" w:hAnsi="仿宋_GB2312" w:eastAsia="仿宋_GB2312" w:cs="仿宋_GB2312"/>
          <w:b/>
          <w:bCs/>
          <w:color w:val="auto"/>
          <w:sz w:val="32"/>
          <w:szCs w:val="32"/>
          <w:lang w:eastAsia="zh-CN"/>
        </w:rPr>
        <w:t>二是</w:t>
      </w:r>
      <w:r>
        <w:rPr>
          <w:rFonts w:hint="eastAsia" w:ascii="仿宋_GB2312" w:hAnsi="仿宋_GB2312" w:eastAsia="仿宋_GB2312" w:cs="仿宋_GB2312"/>
          <w:color w:val="auto"/>
          <w:sz w:val="32"/>
          <w:szCs w:val="32"/>
        </w:rPr>
        <w:t>优化调整</w:t>
      </w:r>
      <w:r>
        <w:rPr>
          <w:rFonts w:hint="eastAsia" w:ascii="仿宋_GB2312" w:hAnsi="仿宋_GB2312" w:eastAsia="仿宋_GB2312" w:cs="仿宋_GB2312"/>
          <w:color w:val="auto"/>
          <w:sz w:val="32"/>
          <w:szCs w:val="32"/>
          <w:lang w:eastAsia="zh-CN"/>
        </w:rPr>
        <w:t>了</w:t>
      </w:r>
      <w:r>
        <w:rPr>
          <w:rFonts w:hint="eastAsia" w:ascii="仿宋_GB2312" w:hAnsi="仿宋_GB2312" w:eastAsia="仿宋_GB2312" w:cs="仿宋_GB2312"/>
          <w:color w:val="auto"/>
          <w:sz w:val="32"/>
          <w:szCs w:val="32"/>
        </w:rPr>
        <w:t>政府门户网站版块栏目、公开目录，及时更新栏目内容和公开事项</w:t>
      </w:r>
      <w:r>
        <w:rPr>
          <w:rFonts w:hint="eastAsia" w:ascii="仿宋_GB2312" w:hAnsi="仿宋_GB2312" w:eastAsia="仿宋_GB2312" w:cs="仿宋_GB2312"/>
          <w:color w:val="auto"/>
          <w:sz w:val="32"/>
          <w:szCs w:val="32"/>
          <w:lang w:eastAsia="zh-CN"/>
        </w:rPr>
        <w:t>，发布政府信息公开工作年度报告</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b/>
          <w:bCs/>
          <w:color w:val="auto"/>
          <w:sz w:val="32"/>
          <w:szCs w:val="32"/>
          <w:lang w:eastAsia="zh-CN"/>
        </w:rPr>
        <w:t>三是</w:t>
      </w:r>
      <w:r>
        <w:rPr>
          <w:rFonts w:hint="eastAsia" w:ascii="仿宋_GB2312" w:hAnsi="仿宋_GB2312" w:eastAsia="仿宋_GB2312" w:cs="仿宋_GB2312"/>
          <w:color w:val="auto"/>
          <w:sz w:val="32"/>
          <w:szCs w:val="32"/>
        </w:rPr>
        <w:t>不断加强政府门户网站监管，对</w:t>
      </w:r>
      <w:r>
        <w:rPr>
          <w:rFonts w:hint="eastAsia" w:ascii="仿宋_GB2312" w:hAnsi="仿宋_GB2312" w:eastAsia="仿宋_GB2312" w:cs="仿宋_GB2312"/>
          <w:color w:val="auto"/>
          <w:sz w:val="32"/>
          <w:szCs w:val="32"/>
          <w:lang w:eastAsia="zh-CN"/>
        </w:rPr>
        <w:t>存在</w:t>
      </w:r>
      <w:r>
        <w:rPr>
          <w:rFonts w:hint="eastAsia" w:ascii="仿宋_GB2312" w:hAnsi="仿宋_GB2312" w:eastAsia="仿宋_GB2312" w:cs="仿宋_GB2312"/>
          <w:color w:val="auto"/>
          <w:sz w:val="32"/>
          <w:szCs w:val="32"/>
        </w:rPr>
        <w:t>栏目不更新、互动回应不及时</w:t>
      </w:r>
      <w:r>
        <w:rPr>
          <w:rFonts w:hint="eastAsia" w:ascii="仿宋_GB2312" w:hAnsi="仿宋_GB2312" w:eastAsia="仿宋_GB2312" w:cs="仿宋_GB2312"/>
          <w:color w:val="auto"/>
          <w:sz w:val="32"/>
          <w:szCs w:val="32"/>
          <w:lang w:eastAsia="zh-CN"/>
        </w:rPr>
        <w:t>、“错字错链”等问题</w:t>
      </w:r>
      <w:r>
        <w:rPr>
          <w:rFonts w:hint="eastAsia" w:ascii="仿宋_GB2312" w:hAnsi="仿宋_GB2312" w:eastAsia="仿宋_GB2312" w:cs="仿宋_GB2312"/>
          <w:color w:val="auto"/>
          <w:sz w:val="32"/>
          <w:szCs w:val="32"/>
        </w:rPr>
        <w:t>进行通报整改；</w:t>
      </w:r>
      <w:r>
        <w:rPr>
          <w:rFonts w:hint="eastAsia" w:ascii="仿宋_GB2312" w:hAnsi="仿宋_GB2312" w:eastAsia="仿宋_GB2312" w:cs="仿宋_GB2312"/>
          <w:b/>
          <w:bCs/>
          <w:color w:val="auto"/>
          <w:sz w:val="32"/>
          <w:szCs w:val="32"/>
          <w:lang w:eastAsia="zh-CN"/>
        </w:rPr>
        <w:t>四是</w:t>
      </w:r>
      <w:r>
        <w:rPr>
          <w:rFonts w:hint="eastAsia" w:ascii="仿宋_GB2312" w:hAnsi="仿宋_GB2312" w:eastAsia="仿宋_GB2312" w:cs="仿宋_GB2312"/>
          <w:color w:val="auto"/>
          <w:sz w:val="32"/>
          <w:szCs w:val="32"/>
          <w:lang w:eastAsia="zh-CN"/>
        </w:rPr>
        <w:t>严格规范政务新媒体的开设、维护、关停等管理环节，加强日常监督管理，确保信息更新及时、内容准确无误、服务便捷高效。围绕“主体不清”“建而不管”“内容质量不高”“过多过滥”等问题，认真开展全县政府系统政务新媒体专项清理整治行动，</w:t>
      </w:r>
      <w:r>
        <w:rPr>
          <w:rFonts w:hint="eastAsia" w:ascii="仿宋_GB2312" w:hAnsi="仿宋_GB2312" w:eastAsia="仿宋_GB2312" w:cs="仿宋_GB2312"/>
          <w:color w:val="auto"/>
          <w:sz w:val="32"/>
          <w:szCs w:val="32"/>
        </w:rPr>
        <w:t>全年共关停</w:t>
      </w:r>
      <w:r>
        <w:rPr>
          <w:rFonts w:hint="eastAsia" w:ascii="仿宋_GB2312" w:hAnsi="仿宋_GB2312" w:eastAsia="仿宋_GB2312" w:cs="仿宋_GB2312"/>
          <w:color w:val="auto"/>
          <w:sz w:val="32"/>
          <w:szCs w:val="32"/>
          <w:lang w:eastAsia="zh-CN"/>
        </w:rPr>
        <w:t>新媒体账号</w:t>
      </w:r>
      <w:r>
        <w:rPr>
          <w:rFonts w:hint="eastAsia" w:ascii="仿宋_GB2312" w:hAnsi="仿宋_GB2312" w:eastAsia="仿宋_GB2312" w:cs="仿宋_GB2312"/>
          <w:color w:val="auto"/>
          <w:sz w:val="32"/>
          <w:szCs w:val="32"/>
          <w:lang w:val="en-US" w:eastAsia="zh-CN"/>
        </w:rPr>
        <w:t>38</w:t>
      </w:r>
      <w:r>
        <w:rPr>
          <w:rFonts w:hint="eastAsia" w:ascii="仿宋_GB2312" w:hAnsi="仿宋_GB2312" w:eastAsia="仿宋_GB2312" w:cs="仿宋_GB2312"/>
          <w:color w:val="auto"/>
          <w:sz w:val="32"/>
          <w:szCs w:val="32"/>
        </w:rPr>
        <w:t>个</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目前</w:t>
      </w:r>
      <w:r>
        <w:rPr>
          <w:rFonts w:hint="eastAsia" w:ascii="仿宋_GB2312" w:hAnsi="仿宋_GB2312" w:eastAsia="仿宋_GB2312" w:cs="仿宋_GB2312"/>
          <w:color w:val="auto"/>
          <w:sz w:val="32"/>
          <w:szCs w:val="32"/>
          <w:lang w:eastAsia="zh-CN"/>
        </w:rPr>
        <w:t>全县共保留</w:t>
      </w:r>
      <w:r>
        <w:rPr>
          <w:rFonts w:hint="eastAsia" w:ascii="仿宋_GB2312" w:hAnsi="仿宋_GB2312" w:eastAsia="仿宋_GB2312" w:cs="仿宋_GB2312"/>
          <w:color w:val="auto"/>
          <w:sz w:val="32"/>
          <w:szCs w:val="32"/>
        </w:rPr>
        <w:t>政务新媒体</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个。</w:t>
      </w:r>
      <w:r>
        <w:rPr>
          <w:rFonts w:hint="eastAsia" w:ascii="仿宋_GB2312" w:hAnsi="仿宋_GB2312" w:eastAsia="仿宋_GB2312" w:cs="仿宋_GB2312"/>
          <w:b/>
          <w:bCs/>
          <w:color w:val="auto"/>
          <w:sz w:val="32"/>
          <w:szCs w:val="32"/>
          <w:lang w:eastAsia="zh-CN"/>
        </w:rPr>
        <w:t>五是</w:t>
      </w:r>
      <w:r>
        <w:rPr>
          <w:rFonts w:hint="eastAsia" w:ascii="仿宋_GB2312" w:hAnsi="仿宋_GB2312" w:eastAsia="仿宋_GB2312" w:cs="仿宋_GB2312"/>
          <w:b w:val="0"/>
          <w:bCs w:val="0"/>
          <w:color w:val="auto"/>
          <w:sz w:val="32"/>
          <w:szCs w:val="32"/>
          <w:lang w:eastAsia="zh-CN"/>
        </w:rPr>
        <w:t>强化网络安全管理，加大网络安全宣传，加大日常工作读网，及时发现处置网络安全隐患，减少外链、断链、错链安全风险，完善网络安全应急预案，对网站错别字、敏感词进行实时监测，确保政府网站稳定、可靠、安全运行。</w:t>
      </w:r>
    </w:p>
    <w:p>
      <w:pPr>
        <w:pStyle w:val="5"/>
        <w:keepNext w:val="0"/>
        <w:keepLines w:val="0"/>
        <w:pageBreakBefore w:val="0"/>
        <w:widowControl/>
        <w:numPr>
          <w:ilvl w:val="0"/>
          <w:numId w:val="0"/>
        </w:numPr>
        <w:kinsoku/>
        <w:wordWrap/>
        <w:overflowPunct/>
        <w:topLinePunct w:val="0"/>
        <w:autoSpaceDE/>
        <w:autoSpaceDN/>
        <w:bidi w:val="0"/>
        <w:adjustRightInd/>
        <w:snapToGrid/>
        <w:spacing w:line="620" w:lineRule="exact"/>
        <w:ind w:leftChars="200" w:firstLine="321" w:firstLineChars="100"/>
        <w:jc w:val="both"/>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lang w:eastAsia="zh-CN"/>
        </w:rPr>
        <w:t>（五）</w:t>
      </w:r>
      <w:r>
        <w:rPr>
          <w:rFonts w:hint="eastAsia" w:ascii="楷体_GB2312" w:hAnsi="楷体_GB2312" w:eastAsia="楷体_GB2312" w:cs="楷体_GB2312"/>
          <w:b/>
          <w:bCs/>
          <w:color w:val="auto"/>
          <w:sz w:val="32"/>
          <w:szCs w:val="32"/>
        </w:rPr>
        <w:t>监督保障方面</w:t>
      </w:r>
    </w:p>
    <w:p>
      <w:pPr>
        <w:pStyle w:val="5"/>
        <w:keepNext w:val="0"/>
        <w:keepLines w:val="0"/>
        <w:pageBreakBefore w:val="0"/>
        <w:widowControl/>
        <w:numPr>
          <w:ilvl w:val="0"/>
          <w:numId w:val="0"/>
        </w:numPr>
        <w:kinsoku/>
        <w:wordWrap/>
        <w:overflowPunct/>
        <w:topLinePunct w:val="0"/>
        <w:autoSpaceDE/>
        <w:autoSpaceDN/>
        <w:bidi w:val="0"/>
        <w:adjustRightInd/>
        <w:snapToGrid/>
        <w:spacing w:line="62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将政务公开工作纳入</w:t>
      </w:r>
      <w:r>
        <w:rPr>
          <w:rFonts w:hint="eastAsia" w:ascii="仿宋_GB2312" w:hAnsi="仿宋_GB2312" w:eastAsia="仿宋_GB2312" w:cs="仿宋_GB2312"/>
          <w:color w:val="auto"/>
          <w:sz w:val="32"/>
          <w:szCs w:val="32"/>
          <w:lang w:eastAsia="zh-CN"/>
        </w:rPr>
        <w:t>年度</w:t>
      </w:r>
      <w:r>
        <w:rPr>
          <w:rFonts w:hint="eastAsia" w:ascii="仿宋_GB2312" w:hAnsi="仿宋_GB2312" w:eastAsia="仿宋_GB2312" w:cs="仿宋_GB2312"/>
          <w:color w:val="auto"/>
          <w:sz w:val="32"/>
          <w:szCs w:val="32"/>
        </w:rPr>
        <w:t>考核</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进一步强化</w:t>
      </w:r>
      <w:r>
        <w:rPr>
          <w:rFonts w:hint="eastAsia" w:ascii="仿宋_GB2312" w:hAnsi="仿宋_GB2312" w:eastAsia="仿宋_GB2312" w:cs="仿宋_GB2312"/>
          <w:color w:val="auto"/>
          <w:sz w:val="32"/>
          <w:szCs w:val="32"/>
          <w:lang w:eastAsia="zh-CN"/>
        </w:rPr>
        <w:t>工作监督</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政务公开领导</w:t>
      </w:r>
      <w:r>
        <w:rPr>
          <w:rFonts w:hint="eastAsia" w:ascii="仿宋_GB2312" w:hAnsi="仿宋_GB2312" w:eastAsia="仿宋_GB2312" w:cs="仿宋_GB2312"/>
          <w:color w:val="auto"/>
          <w:sz w:val="32"/>
          <w:szCs w:val="32"/>
          <w:lang w:eastAsia="zh-CN"/>
        </w:rPr>
        <w:t>小</w:t>
      </w:r>
      <w:r>
        <w:rPr>
          <w:rFonts w:hint="eastAsia" w:ascii="仿宋_GB2312" w:hAnsi="仿宋_GB2312" w:eastAsia="仿宋_GB2312" w:cs="仿宋_GB2312"/>
          <w:color w:val="auto"/>
          <w:sz w:val="32"/>
          <w:szCs w:val="32"/>
        </w:rPr>
        <w:t>组不定期围绕政务公开重点工作开展</w:t>
      </w:r>
      <w:r>
        <w:rPr>
          <w:rFonts w:hint="eastAsia" w:ascii="仿宋_GB2312" w:hAnsi="仿宋_GB2312" w:eastAsia="仿宋_GB2312" w:cs="仿宋_GB2312"/>
          <w:color w:val="auto"/>
          <w:sz w:val="32"/>
          <w:szCs w:val="32"/>
          <w:lang w:eastAsia="zh-CN"/>
        </w:rPr>
        <w:t>检查、督促、指导，</w:t>
      </w:r>
      <w:r>
        <w:rPr>
          <w:rFonts w:hint="eastAsia" w:ascii="仿宋_GB2312" w:hAnsi="仿宋_GB2312" w:eastAsia="仿宋_GB2312" w:cs="仿宋_GB2312"/>
          <w:color w:val="auto"/>
          <w:sz w:val="32"/>
          <w:szCs w:val="32"/>
        </w:rPr>
        <w:t>建立完善</w:t>
      </w:r>
      <w:r>
        <w:rPr>
          <w:rFonts w:hint="eastAsia" w:ascii="仿宋_GB2312" w:hAnsi="仿宋_GB2312" w:eastAsia="仿宋_GB2312" w:cs="仿宋_GB2312"/>
          <w:color w:val="auto"/>
          <w:sz w:val="32"/>
          <w:szCs w:val="32"/>
          <w:lang w:eastAsia="zh-CN"/>
        </w:rPr>
        <w:t>工作</w:t>
      </w:r>
      <w:r>
        <w:rPr>
          <w:rFonts w:hint="eastAsia" w:ascii="仿宋_GB2312" w:hAnsi="仿宋_GB2312" w:eastAsia="仿宋_GB2312" w:cs="仿宋_GB2312"/>
          <w:color w:val="auto"/>
          <w:sz w:val="32"/>
          <w:szCs w:val="32"/>
        </w:rPr>
        <w:t>通报制度，对各单位的</w:t>
      </w:r>
      <w:r>
        <w:rPr>
          <w:rFonts w:hint="eastAsia" w:ascii="仿宋_GB2312" w:hAnsi="仿宋_GB2312" w:eastAsia="仿宋_GB2312" w:cs="仿宋_GB2312"/>
          <w:color w:val="auto"/>
          <w:sz w:val="32"/>
          <w:szCs w:val="32"/>
          <w:lang w:eastAsia="zh-CN"/>
        </w:rPr>
        <w:t>日常</w:t>
      </w:r>
      <w:r>
        <w:rPr>
          <w:rFonts w:hint="eastAsia" w:ascii="仿宋_GB2312" w:hAnsi="仿宋_GB2312" w:eastAsia="仿宋_GB2312" w:cs="仿宋_GB2312"/>
          <w:color w:val="auto"/>
          <w:sz w:val="32"/>
          <w:szCs w:val="32"/>
        </w:rPr>
        <w:t>信息发布、重点领域和</w:t>
      </w:r>
      <w:r>
        <w:rPr>
          <w:rFonts w:hint="eastAsia" w:ascii="仿宋_GB2312" w:hAnsi="仿宋_GB2312" w:eastAsia="仿宋_GB2312" w:cs="仿宋_GB2312"/>
          <w:color w:val="auto"/>
          <w:sz w:val="32"/>
          <w:szCs w:val="32"/>
          <w:lang w:eastAsia="zh-CN"/>
        </w:rPr>
        <w:t>试点领域政务公开工作执行情况，特别是对涉及公众利益和需要公众广泛知晓或参与决策的政府信息公开情况及时通过电话、微信提醒，加大监督检查，</w:t>
      </w:r>
      <w:r>
        <w:rPr>
          <w:rFonts w:hint="eastAsia" w:ascii="仿宋_GB2312" w:hAnsi="仿宋_GB2312" w:eastAsia="仿宋_GB2312" w:cs="仿宋_GB2312"/>
          <w:color w:val="auto"/>
          <w:sz w:val="32"/>
          <w:szCs w:val="32"/>
        </w:rPr>
        <w:t>对问题多、整改不力的单位给予</w:t>
      </w:r>
      <w:r>
        <w:rPr>
          <w:rFonts w:hint="eastAsia" w:ascii="仿宋_GB2312" w:hAnsi="仿宋_GB2312" w:eastAsia="仿宋_GB2312" w:cs="仿宋_GB2312"/>
          <w:color w:val="auto"/>
          <w:sz w:val="32"/>
          <w:szCs w:val="32"/>
          <w:lang w:eastAsia="zh-CN"/>
        </w:rPr>
        <w:t>通报</w:t>
      </w:r>
      <w:r>
        <w:rPr>
          <w:rFonts w:hint="eastAsia" w:ascii="仿宋_GB2312" w:hAnsi="仿宋_GB2312" w:eastAsia="仿宋_GB2312" w:cs="仿宋_GB2312"/>
          <w:color w:val="auto"/>
          <w:sz w:val="32"/>
          <w:szCs w:val="32"/>
        </w:rPr>
        <w:t>批评。</w:t>
      </w:r>
    </w:p>
    <w:p>
      <w:pPr>
        <w:pStyle w:val="5"/>
        <w:keepNext w:val="0"/>
        <w:keepLines w:val="0"/>
        <w:pageBreakBefore w:val="0"/>
        <w:widowControl/>
        <w:numPr>
          <w:ilvl w:val="0"/>
          <w:numId w:val="0"/>
        </w:numPr>
        <w:kinsoku/>
        <w:wordWrap/>
        <w:overflowPunct/>
        <w:topLinePunct w:val="0"/>
        <w:autoSpaceDE/>
        <w:autoSpaceDN/>
        <w:bidi w:val="0"/>
        <w:adjustRightInd/>
        <w:snapToGrid/>
        <w:spacing w:line="620" w:lineRule="exact"/>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二、主动公开</w:t>
      </w:r>
      <w:r>
        <w:rPr>
          <w:rFonts w:hint="eastAsia" w:ascii="黑体" w:hAnsi="黑体" w:eastAsia="黑体" w:cs="黑体"/>
          <w:color w:val="auto"/>
          <w:sz w:val="32"/>
          <w:szCs w:val="32"/>
          <w:lang w:eastAsia="zh-CN"/>
        </w:rPr>
        <w:t>政府</w:t>
      </w:r>
      <w:r>
        <w:rPr>
          <w:rFonts w:hint="eastAsia" w:ascii="黑体" w:hAnsi="黑体" w:eastAsia="黑体" w:cs="黑体"/>
          <w:color w:val="auto"/>
          <w:sz w:val="32"/>
          <w:szCs w:val="32"/>
        </w:rPr>
        <w:t>信息情况</w:t>
      </w:r>
    </w:p>
    <w:tbl>
      <w:tblPr>
        <w:tblStyle w:val="6"/>
        <w:tblW w:w="9060" w:type="dxa"/>
        <w:jc w:val="center"/>
        <w:tblLayout w:type="fixed"/>
        <w:tblCellMar>
          <w:top w:w="0" w:type="dxa"/>
          <w:left w:w="0" w:type="dxa"/>
          <w:bottom w:w="0" w:type="dxa"/>
          <w:right w:w="0" w:type="dxa"/>
        </w:tblCellMar>
      </w:tblPr>
      <w:tblGrid>
        <w:gridCol w:w="2677"/>
        <w:gridCol w:w="2875"/>
        <w:gridCol w:w="1414"/>
        <w:gridCol w:w="2094"/>
      </w:tblGrid>
      <w:tr>
        <w:tblPrEx>
          <w:tblCellMar>
            <w:top w:w="0" w:type="dxa"/>
            <w:left w:w="0" w:type="dxa"/>
            <w:bottom w:w="0" w:type="dxa"/>
            <w:right w:w="0" w:type="dxa"/>
          </w:tblCellMar>
        </w:tblPrEx>
        <w:trPr>
          <w:trHeight w:val="90" w:hRule="atLeast"/>
          <w:jc w:val="center"/>
        </w:trPr>
        <w:tc>
          <w:tcPr>
            <w:tcW w:w="9060" w:type="dxa"/>
            <w:gridSpan w:val="4"/>
            <w:tcBorders>
              <w:top w:val="single" w:color="auto" w:sz="8" w:space="0"/>
              <w:left w:val="single" w:color="auto" w:sz="8" w:space="0"/>
              <w:bottom w:val="single" w:color="auto" w:sz="8" w:space="0"/>
              <w:right w:val="single" w:color="auto" w:sz="8" w:space="0"/>
            </w:tcBorders>
            <w:shd w:val="clear" w:color="auto" w:fill="C6D9F1"/>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40" w:lineRule="auto"/>
              <w:jc w:val="center"/>
              <w:textAlignment w:val="auto"/>
              <w:rPr>
                <w:color w:val="auto"/>
              </w:rPr>
            </w:pPr>
            <w:r>
              <w:rPr>
                <w:rFonts w:hint="eastAsia" w:ascii="宋体" w:hAnsi="宋体" w:eastAsia="宋体" w:cs="宋体"/>
                <w:color w:val="auto"/>
                <w:kern w:val="0"/>
                <w:sz w:val="20"/>
                <w:szCs w:val="20"/>
              </w:rPr>
              <w:t>第二十条第（一）项</w:t>
            </w:r>
          </w:p>
        </w:tc>
      </w:tr>
      <w:tr>
        <w:tblPrEx>
          <w:tblCellMar>
            <w:top w:w="0" w:type="dxa"/>
            <w:left w:w="0" w:type="dxa"/>
            <w:bottom w:w="0" w:type="dxa"/>
            <w:right w:w="0" w:type="dxa"/>
          </w:tblCellMar>
        </w:tblPrEx>
        <w:trPr>
          <w:trHeight w:val="90" w:hRule="atLeast"/>
          <w:jc w:val="center"/>
        </w:trPr>
        <w:tc>
          <w:tcPr>
            <w:tcW w:w="2677"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40" w:lineRule="auto"/>
              <w:jc w:val="center"/>
              <w:textAlignment w:val="auto"/>
              <w:rPr>
                <w:color w:val="auto"/>
              </w:rPr>
            </w:pPr>
            <w:r>
              <w:rPr>
                <w:rFonts w:hint="eastAsia" w:ascii="宋体" w:hAnsi="宋体" w:eastAsia="宋体" w:cs="宋体"/>
                <w:color w:val="auto"/>
                <w:kern w:val="0"/>
                <w:sz w:val="20"/>
                <w:szCs w:val="20"/>
              </w:rPr>
              <w:t>信息内容</w:t>
            </w:r>
          </w:p>
        </w:tc>
        <w:tc>
          <w:tcPr>
            <w:tcW w:w="287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40" w:lineRule="auto"/>
              <w:jc w:val="center"/>
              <w:textAlignment w:val="auto"/>
              <w:rPr>
                <w:rFonts w:hint="eastAsia" w:eastAsia="宋体"/>
                <w:color w:val="auto"/>
                <w:lang w:eastAsia="zh-CN"/>
              </w:rPr>
            </w:pPr>
            <w:r>
              <w:rPr>
                <w:rFonts w:hint="eastAsia" w:ascii="宋体" w:hAnsi="宋体" w:eastAsia="宋体" w:cs="宋体"/>
                <w:color w:val="auto"/>
                <w:kern w:val="0"/>
                <w:sz w:val="20"/>
                <w:szCs w:val="20"/>
              </w:rPr>
              <w:t>本年</w:t>
            </w:r>
            <w:r>
              <w:rPr>
                <w:rFonts w:hint="eastAsia" w:ascii="宋体" w:hAnsi="宋体" w:eastAsia="宋体" w:cs="宋体"/>
                <w:color w:val="auto"/>
                <w:kern w:val="0"/>
                <w:sz w:val="20"/>
                <w:szCs w:val="20"/>
              </w:rPr>
              <w:br w:type="textWrapping"/>
            </w:r>
            <w:r>
              <w:rPr>
                <w:rFonts w:ascii="Calibri" w:hAnsi="Calibri" w:eastAsia="宋体" w:cs="Times New Roman"/>
                <w:color w:val="auto"/>
                <w:kern w:val="0"/>
                <w:sz w:val="20"/>
                <w:szCs w:val="20"/>
              </w:rPr>
              <w:t>制作</w:t>
            </w:r>
            <w:r>
              <w:rPr>
                <w:rFonts w:hint="eastAsia" w:ascii="Calibri" w:hAnsi="Calibri" w:eastAsia="宋体" w:cs="Times New Roman"/>
                <w:color w:val="auto"/>
                <w:kern w:val="0"/>
                <w:sz w:val="20"/>
                <w:szCs w:val="20"/>
                <w:lang w:eastAsia="zh-CN"/>
              </w:rPr>
              <w:t>件数</w:t>
            </w:r>
          </w:p>
        </w:tc>
        <w:tc>
          <w:tcPr>
            <w:tcW w:w="1414"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40" w:lineRule="auto"/>
              <w:jc w:val="center"/>
              <w:textAlignment w:val="auto"/>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本年</w:t>
            </w:r>
            <w:r>
              <w:rPr>
                <w:rFonts w:hint="eastAsia" w:ascii="宋体" w:hAnsi="宋体" w:eastAsia="宋体" w:cs="宋体"/>
                <w:color w:val="auto"/>
                <w:kern w:val="0"/>
                <w:sz w:val="20"/>
                <w:szCs w:val="20"/>
                <w:lang w:eastAsia="zh-CN"/>
              </w:rPr>
              <w:t>废止</w:t>
            </w:r>
          </w:p>
          <w:p>
            <w:pPr>
              <w:keepNext w:val="0"/>
              <w:keepLines w:val="0"/>
              <w:pageBreakBefore w:val="0"/>
              <w:widowControl/>
              <w:kinsoku/>
              <w:wordWrap/>
              <w:overflowPunct/>
              <w:topLinePunct w:val="0"/>
              <w:autoSpaceDE/>
              <w:autoSpaceDN/>
              <w:bidi w:val="0"/>
              <w:adjustRightInd/>
              <w:snapToGrid/>
              <w:spacing w:after="180" w:line="240" w:lineRule="auto"/>
              <w:jc w:val="center"/>
              <w:textAlignment w:val="auto"/>
              <w:rPr>
                <w:color w:val="auto"/>
              </w:rPr>
            </w:pPr>
            <w:r>
              <w:rPr>
                <w:rFonts w:ascii="Calibri" w:hAnsi="Calibri" w:eastAsia="宋体" w:cs="Times New Roman"/>
                <w:color w:val="auto"/>
                <w:kern w:val="0"/>
                <w:sz w:val="20"/>
                <w:szCs w:val="20"/>
              </w:rPr>
              <w:t>数量</w:t>
            </w:r>
          </w:p>
        </w:tc>
        <w:tc>
          <w:tcPr>
            <w:tcW w:w="209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40" w:lineRule="auto"/>
              <w:jc w:val="center"/>
              <w:textAlignment w:val="auto"/>
              <w:rPr>
                <w:rFonts w:hint="eastAsia" w:eastAsiaTheme="minorEastAsia"/>
                <w:color w:val="auto"/>
                <w:lang w:eastAsia="zh-CN"/>
              </w:rPr>
            </w:pPr>
            <w:r>
              <w:rPr>
                <w:rFonts w:hint="eastAsia" w:ascii="宋体" w:hAnsi="宋体" w:eastAsia="宋体" w:cs="宋体"/>
                <w:color w:val="auto"/>
                <w:kern w:val="0"/>
                <w:sz w:val="20"/>
                <w:szCs w:val="20"/>
                <w:lang w:eastAsia="zh-CN"/>
              </w:rPr>
              <w:t>现行有效件数</w:t>
            </w:r>
          </w:p>
        </w:tc>
      </w:tr>
      <w:tr>
        <w:tblPrEx>
          <w:tblCellMar>
            <w:top w:w="0" w:type="dxa"/>
            <w:left w:w="0" w:type="dxa"/>
            <w:bottom w:w="0" w:type="dxa"/>
            <w:right w:w="0" w:type="dxa"/>
          </w:tblCellMar>
        </w:tblPrEx>
        <w:trPr>
          <w:trHeight w:val="637" w:hRule="atLeast"/>
          <w:jc w:val="center"/>
        </w:trPr>
        <w:tc>
          <w:tcPr>
            <w:tcW w:w="2677"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40" w:lineRule="auto"/>
              <w:jc w:val="left"/>
              <w:textAlignment w:val="auto"/>
              <w:rPr>
                <w:color w:val="auto"/>
              </w:rPr>
            </w:pPr>
            <w:r>
              <w:rPr>
                <w:rFonts w:hint="eastAsia" w:ascii="宋体" w:hAnsi="宋体" w:eastAsia="宋体" w:cs="宋体"/>
                <w:color w:val="auto"/>
                <w:kern w:val="0"/>
                <w:sz w:val="20"/>
                <w:szCs w:val="20"/>
              </w:rPr>
              <w:t>规章</w:t>
            </w:r>
          </w:p>
        </w:tc>
        <w:tc>
          <w:tcPr>
            <w:tcW w:w="287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40" w:lineRule="auto"/>
              <w:jc w:val="center"/>
              <w:textAlignment w:val="auto"/>
              <w:rPr>
                <w:rFonts w:hint="default" w:eastAsia="宋体"/>
                <w:color w:val="auto"/>
                <w:lang w:val="en-US" w:eastAsia="zh-CN"/>
              </w:rPr>
            </w:pPr>
            <w:r>
              <w:rPr>
                <w:rFonts w:hint="eastAsia" w:eastAsia="宋体"/>
                <w:color w:val="auto"/>
                <w:lang w:val="en-US" w:eastAsia="zh-CN"/>
              </w:rPr>
              <w:t>0</w:t>
            </w:r>
          </w:p>
        </w:tc>
        <w:tc>
          <w:tcPr>
            <w:tcW w:w="141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40" w:lineRule="auto"/>
              <w:jc w:val="center"/>
              <w:textAlignment w:val="auto"/>
              <w:rPr>
                <w:rFonts w:hint="default" w:eastAsia="宋体"/>
                <w:color w:val="auto"/>
                <w:lang w:val="en-US" w:eastAsia="zh-CN"/>
              </w:rPr>
            </w:pPr>
            <w:r>
              <w:rPr>
                <w:rFonts w:hint="eastAsia" w:eastAsia="宋体"/>
                <w:color w:val="auto"/>
                <w:lang w:val="en-US" w:eastAsia="zh-CN"/>
              </w:rPr>
              <w:t>0</w:t>
            </w:r>
          </w:p>
        </w:tc>
        <w:tc>
          <w:tcPr>
            <w:tcW w:w="209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40" w:lineRule="auto"/>
              <w:jc w:val="center"/>
              <w:textAlignment w:val="auto"/>
              <w:rPr>
                <w:rFonts w:hint="default" w:eastAsia="宋体"/>
                <w:color w:val="auto"/>
                <w:lang w:val="en-US" w:eastAsia="zh-CN"/>
              </w:rPr>
            </w:pPr>
            <w:r>
              <w:rPr>
                <w:rFonts w:hint="eastAsia" w:eastAsia="宋体"/>
                <w:color w:val="auto"/>
                <w:lang w:val="en-US" w:eastAsia="zh-CN"/>
              </w:rPr>
              <w:t>0</w:t>
            </w:r>
          </w:p>
        </w:tc>
      </w:tr>
      <w:tr>
        <w:tblPrEx>
          <w:tblCellMar>
            <w:top w:w="0" w:type="dxa"/>
            <w:left w:w="0" w:type="dxa"/>
            <w:bottom w:w="0" w:type="dxa"/>
            <w:right w:w="0" w:type="dxa"/>
          </w:tblCellMar>
        </w:tblPrEx>
        <w:trPr>
          <w:trHeight w:val="471" w:hRule="atLeast"/>
          <w:jc w:val="center"/>
        </w:trPr>
        <w:tc>
          <w:tcPr>
            <w:tcW w:w="2677"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40" w:lineRule="auto"/>
              <w:jc w:val="left"/>
              <w:textAlignment w:val="auto"/>
              <w:rPr>
                <w:color w:val="auto"/>
              </w:rPr>
            </w:pPr>
            <w:r>
              <w:rPr>
                <w:rFonts w:hint="eastAsia" w:ascii="宋体" w:hAnsi="宋体" w:eastAsia="宋体" w:cs="宋体"/>
                <w:color w:val="auto"/>
                <w:kern w:val="0"/>
                <w:sz w:val="20"/>
                <w:szCs w:val="20"/>
                <w:lang w:eastAsia="zh-CN"/>
              </w:rPr>
              <w:t>行政</w:t>
            </w:r>
            <w:r>
              <w:rPr>
                <w:rFonts w:hint="eastAsia" w:ascii="宋体" w:hAnsi="宋体" w:eastAsia="宋体" w:cs="宋体"/>
                <w:color w:val="auto"/>
                <w:kern w:val="0"/>
                <w:sz w:val="20"/>
                <w:szCs w:val="20"/>
              </w:rPr>
              <w:t>规范性文件</w:t>
            </w:r>
          </w:p>
        </w:tc>
        <w:tc>
          <w:tcPr>
            <w:tcW w:w="287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40" w:lineRule="auto"/>
              <w:jc w:val="center"/>
              <w:textAlignment w:val="auto"/>
              <w:rPr>
                <w:rFonts w:hint="default" w:eastAsia="宋体"/>
                <w:color w:val="auto"/>
                <w:lang w:val="en-US" w:eastAsia="zh-CN"/>
              </w:rPr>
            </w:pPr>
            <w:r>
              <w:rPr>
                <w:rFonts w:hint="eastAsia" w:eastAsia="宋体"/>
                <w:color w:val="auto"/>
                <w:lang w:val="en-US" w:eastAsia="zh-CN"/>
              </w:rPr>
              <w:t>4</w:t>
            </w:r>
          </w:p>
        </w:tc>
        <w:tc>
          <w:tcPr>
            <w:tcW w:w="141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40" w:lineRule="auto"/>
              <w:jc w:val="center"/>
              <w:textAlignment w:val="auto"/>
              <w:rPr>
                <w:rFonts w:hint="default" w:eastAsia="宋体"/>
                <w:color w:val="auto"/>
                <w:lang w:val="en-US" w:eastAsia="zh-CN"/>
              </w:rPr>
            </w:pPr>
            <w:r>
              <w:rPr>
                <w:rFonts w:hint="eastAsia" w:eastAsia="宋体"/>
                <w:color w:val="auto"/>
                <w:lang w:val="en-US" w:eastAsia="zh-CN"/>
              </w:rPr>
              <w:t>0</w:t>
            </w:r>
          </w:p>
        </w:tc>
        <w:tc>
          <w:tcPr>
            <w:tcW w:w="209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40" w:lineRule="auto"/>
              <w:jc w:val="center"/>
              <w:textAlignment w:val="auto"/>
              <w:rPr>
                <w:rFonts w:hint="default" w:eastAsia="宋体"/>
                <w:color w:val="auto"/>
                <w:lang w:val="en-US" w:eastAsia="zh-CN"/>
              </w:rPr>
            </w:pPr>
            <w:r>
              <w:rPr>
                <w:rFonts w:hint="eastAsia" w:eastAsia="宋体"/>
                <w:color w:val="auto"/>
                <w:lang w:val="en-US" w:eastAsia="zh-CN"/>
              </w:rPr>
              <w:t>24</w:t>
            </w:r>
          </w:p>
        </w:tc>
      </w:tr>
      <w:tr>
        <w:tblPrEx>
          <w:tblCellMar>
            <w:top w:w="0" w:type="dxa"/>
            <w:left w:w="0" w:type="dxa"/>
            <w:bottom w:w="0" w:type="dxa"/>
            <w:right w:w="0" w:type="dxa"/>
          </w:tblCellMar>
        </w:tblPrEx>
        <w:trPr>
          <w:trHeight w:val="480" w:hRule="atLeast"/>
          <w:jc w:val="center"/>
        </w:trPr>
        <w:tc>
          <w:tcPr>
            <w:tcW w:w="9060" w:type="dxa"/>
            <w:gridSpan w:val="4"/>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40" w:lineRule="auto"/>
              <w:jc w:val="center"/>
              <w:textAlignment w:val="auto"/>
              <w:rPr>
                <w:color w:val="auto"/>
              </w:rPr>
            </w:pPr>
            <w:r>
              <w:rPr>
                <w:rFonts w:hint="eastAsia" w:ascii="宋体" w:hAnsi="宋体" w:eastAsia="宋体" w:cs="宋体"/>
                <w:color w:val="auto"/>
                <w:kern w:val="0"/>
                <w:sz w:val="20"/>
                <w:szCs w:val="20"/>
              </w:rPr>
              <w:t>第二十条第（五）项</w:t>
            </w:r>
          </w:p>
        </w:tc>
      </w:tr>
      <w:tr>
        <w:tblPrEx>
          <w:tblCellMar>
            <w:top w:w="0" w:type="dxa"/>
            <w:left w:w="0" w:type="dxa"/>
            <w:bottom w:w="0" w:type="dxa"/>
            <w:right w:w="0" w:type="dxa"/>
          </w:tblCellMar>
        </w:tblPrEx>
        <w:trPr>
          <w:trHeight w:val="619" w:hRule="atLeast"/>
          <w:jc w:val="center"/>
        </w:trPr>
        <w:tc>
          <w:tcPr>
            <w:tcW w:w="2677"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40" w:lineRule="auto"/>
              <w:jc w:val="center"/>
              <w:textAlignment w:val="auto"/>
              <w:rPr>
                <w:color w:val="auto"/>
              </w:rPr>
            </w:pPr>
            <w:r>
              <w:rPr>
                <w:rFonts w:hint="eastAsia" w:ascii="宋体" w:hAnsi="宋体" w:eastAsia="宋体" w:cs="宋体"/>
                <w:color w:val="auto"/>
                <w:kern w:val="0"/>
                <w:sz w:val="20"/>
                <w:szCs w:val="20"/>
              </w:rPr>
              <w:t>信息内容</w:t>
            </w:r>
          </w:p>
        </w:tc>
        <w:tc>
          <w:tcPr>
            <w:tcW w:w="6383" w:type="dxa"/>
            <w:gridSpan w:val="3"/>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40" w:lineRule="auto"/>
              <w:jc w:val="center"/>
              <w:textAlignment w:val="auto"/>
              <w:rPr>
                <w:color w:val="auto"/>
              </w:rPr>
            </w:pPr>
            <w:r>
              <w:rPr>
                <w:rFonts w:hint="eastAsia" w:ascii="宋体" w:hAnsi="宋体" w:eastAsia="宋体" w:cs="宋体"/>
                <w:color w:val="auto"/>
                <w:kern w:val="0"/>
                <w:sz w:val="20"/>
                <w:szCs w:val="20"/>
                <w:lang w:eastAsia="zh-CN"/>
              </w:rPr>
              <w:t>本年</w:t>
            </w:r>
            <w:r>
              <w:rPr>
                <w:rFonts w:hint="eastAsia" w:ascii="宋体" w:hAnsi="宋体" w:eastAsia="宋体" w:cs="宋体"/>
                <w:color w:val="auto"/>
                <w:kern w:val="0"/>
                <w:sz w:val="20"/>
                <w:szCs w:val="20"/>
              </w:rPr>
              <w:t>处理决定数量</w:t>
            </w:r>
          </w:p>
        </w:tc>
      </w:tr>
      <w:tr>
        <w:tblPrEx>
          <w:tblCellMar>
            <w:top w:w="0" w:type="dxa"/>
            <w:left w:w="0" w:type="dxa"/>
            <w:bottom w:w="0" w:type="dxa"/>
            <w:right w:w="0" w:type="dxa"/>
          </w:tblCellMar>
        </w:tblPrEx>
        <w:trPr>
          <w:trHeight w:val="528" w:hRule="atLeast"/>
          <w:jc w:val="center"/>
        </w:trPr>
        <w:tc>
          <w:tcPr>
            <w:tcW w:w="2677"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40" w:lineRule="auto"/>
              <w:jc w:val="left"/>
              <w:textAlignment w:val="auto"/>
              <w:rPr>
                <w:color w:val="auto"/>
              </w:rPr>
            </w:pPr>
            <w:r>
              <w:rPr>
                <w:rFonts w:hint="eastAsia" w:ascii="宋体" w:hAnsi="宋体" w:eastAsia="宋体" w:cs="宋体"/>
                <w:color w:val="auto"/>
                <w:kern w:val="0"/>
                <w:sz w:val="20"/>
                <w:szCs w:val="20"/>
              </w:rPr>
              <w:t>行政许可</w:t>
            </w:r>
          </w:p>
        </w:tc>
        <w:tc>
          <w:tcPr>
            <w:tcW w:w="6383" w:type="dxa"/>
            <w:gridSpan w:val="3"/>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40" w:lineRule="auto"/>
              <w:jc w:val="center"/>
              <w:textAlignment w:val="auto"/>
              <w:rPr>
                <w:rFonts w:hint="default" w:eastAsia="宋体"/>
                <w:color w:val="auto"/>
                <w:lang w:val="en-US" w:eastAsia="zh-CN"/>
              </w:rPr>
            </w:pPr>
            <w:r>
              <w:rPr>
                <w:rFonts w:hint="eastAsia" w:eastAsia="宋体"/>
                <w:color w:val="auto"/>
                <w:lang w:val="en-US" w:eastAsia="zh-CN"/>
              </w:rPr>
              <w:t>0</w:t>
            </w:r>
          </w:p>
        </w:tc>
      </w:tr>
      <w:tr>
        <w:tblPrEx>
          <w:tblCellMar>
            <w:top w:w="0" w:type="dxa"/>
            <w:left w:w="0" w:type="dxa"/>
            <w:bottom w:w="0" w:type="dxa"/>
            <w:right w:w="0" w:type="dxa"/>
          </w:tblCellMar>
        </w:tblPrEx>
        <w:trPr>
          <w:trHeight w:val="406" w:hRule="atLeast"/>
          <w:jc w:val="center"/>
        </w:trPr>
        <w:tc>
          <w:tcPr>
            <w:tcW w:w="9060" w:type="dxa"/>
            <w:gridSpan w:val="4"/>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40" w:lineRule="auto"/>
              <w:jc w:val="center"/>
              <w:textAlignment w:val="auto"/>
              <w:rPr>
                <w:color w:val="auto"/>
              </w:rPr>
            </w:pPr>
            <w:r>
              <w:rPr>
                <w:rFonts w:hint="eastAsia" w:ascii="宋体" w:hAnsi="宋体" w:eastAsia="宋体" w:cs="宋体"/>
                <w:color w:val="auto"/>
                <w:kern w:val="0"/>
                <w:sz w:val="20"/>
                <w:szCs w:val="20"/>
              </w:rPr>
              <w:t>第二十条第（六）项</w:t>
            </w:r>
          </w:p>
        </w:tc>
      </w:tr>
      <w:tr>
        <w:tblPrEx>
          <w:tblCellMar>
            <w:top w:w="0" w:type="dxa"/>
            <w:left w:w="0" w:type="dxa"/>
            <w:bottom w:w="0" w:type="dxa"/>
            <w:right w:w="0" w:type="dxa"/>
          </w:tblCellMar>
        </w:tblPrEx>
        <w:trPr>
          <w:trHeight w:val="454" w:hRule="atLeast"/>
          <w:jc w:val="center"/>
        </w:trPr>
        <w:tc>
          <w:tcPr>
            <w:tcW w:w="2677"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40" w:lineRule="auto"/>
              <w:jc w:val="center"/>
              <w:textAlignment w:val="auto"/>
              <w:rPr>
                <w:color w:val="auto"/>
              </w:rPr>
            </w:pPr>
            <w:r>
              <w:rPr>
                <w:rFonts w:hint="eastAsia" w:ascii="宋体" w:hAnsi="宋体" w:eastAsia="宋体" w:cs="宋体"/>
                <w:color w:val="auto"/>
                <w:kern w:val="0"/>
                <w:sz w:val="20"/>
                <w:szCs w:val="20"/>
              </w:rPr>
              <w:t>信息内容</w:t>
            </w:r>
          </w:p>
        </w:tc>
        <w:tc>
          <w:tcPr>
            <w:tcW w:w="6383" w:type="dxa"/>
            <w:gridSpan w:val="3"/>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40" w:lineRule="auto"/>
              <w:jc w:val="center"/>
              <w:textAlignment w:val="auto"/>
              <w:rPr>
                <w:color w:val="auto"/>
              </w:rPr>
            </w:pPr>
            <w:r>
              <w:rPr>
                <w:rFonts w:hint="eastAsia" w:ascii="宋体" w:hAnsi="宋体" w:eastAsia="宋体" w:cs="宋体"/>
                <w:color w:val="auto"/>
                <w:kern w:val="0"/>
                <w:sz w:val="20"/>
                <w:szCs w:val="20"/>
                <w:lang w:eastAsia="zh-CN"/>
              </w:rPr>
              <w:t>本年</w:t>
            </w:r>
            <w:r>
              <w:rPr>
                <w:rFonts w:hint="eastAsia" w:ascii="宋体" w:hAnsi="宋体" w:eastAsia="宋体" w:cs="宋体"/>
                <w:color w:val="auto"/>
                <w:kern w:val="0"/>
                <w:sz w:val="20"/>
                <w:szCs w:val="20"/>
              </w:rPr>
              <w:t>处理决定数量</w:t>
            </w:r>
          </w:p>
        </w:tc>
      </w:tr>
      <w:tr>
        <w:tblPrEx>
          <w:tblCellMar>
            <w:top w:w="0" w:type="dxa"/>
            <w:left w:w="0" w:type="dxa"/>
            <w:bottom w:w="0" w:type="dxa"/>
            <w:right w:w="0" w:type="dxa"/>
          </w:tblCellMar>
        </w:tblPrEx>
        <w:trPr>
          <w:trHeight w:val="554" w:hRule="atLeast"/>
          <w:jc w:val="center"/>
        </w:trPr>
        <w:tc>
          <w:tcPr>
            <w:tcW w:w="2677"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40" w:lineRule="auto"/>
              <w:jc w:val="left"/>
              <w:textAlignment w:val="auto"/>
              <w:rPr>
                <w:color w:val="auto"/>
              </w:rPr>
            </w:pPr>
            <w:r>
              <w:rPr>
                <w:rFonts w:hint="eastAsia" w:ascii="宋体" w:hAnsi="宋体" w:eastAsia="宋体" w:cs="宋体"/>
                <w:color w:val="auto"/>
                <w:kern w:val="0"/>
                <w:sz w:val="20"/>
                <w:szCs w:val="20"/>
              </w:rPr>
              <w:t>行政处罚</w:t>
            </w:r>
          </w:p>
        </w:tc>
        <w:tc>
          <w:tcPr>
            <w:tcW w:w="6383" w:type="dxa"/>
            <w:gridSpan w:val="3"/>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宋体" w:hAnsi="宋体" w:eastAsia="宋体" w:cs="宋体"/>
                <w:b/>
                <w:bCs/>
                <w:color w:val="auto"/>
                <w:sz w:val="20"/>
                <w:szCs w:val="20"/>
                <w:lang w:val="en-US" w:eastAsia="zh-CN"/>
              </w:rPr>
            </w:pPr>
            <w:r>
              <w:rPr>
                <w:rFonts w:hint="eastAsia" w:ascii="宋体" w:hAnsi="宋体" w:eastAsia="宋体" w:cs="宋体"/>
                <w:b/>
                <w:bCs/>
                <w:color w:val="auto"/>
                <w:sz w:val="20"/>
                <w:szCs w:val="20"/>
                <w:lang w:val="en-US" w:eastAsia="zh-CN"/>
              </w:rPr>
              <w:t>0</w:t>
            </w:r>
          </w:p>
        </w:tc>
      </w:tr>
      <w:tr>
        <w:tblPrEx>
          <w:tblCellMar>
            <w:top w:w="0" w:type="dxa"/>
            <w:left w:w="0" w:type="dxa"/>
            <w:bottom w:w="0" w:type="dxa"/>
            <w:right w:w="0" w:type="dxa"/>
          </w:tblCellMar>
        </w:tblPrEx>
        <w:trPr>
          <w:trHeight w:val="409" w:hRule="atLeast"/>
          <w:jc w:val="center"/>
        </w:trPr>
        <w:tc>
          <w:tcPr>
            <w:tcW w:w="2677"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40" w:lineRule="auto"/>
              <w:jc w:val="left"/>
              <w:textAlignment w:val="auto"/>
              <w:rPr>
                <w:color w:val="auto"/>
              </w:rPr>
            </w:pPr>
            <w:r>
              <w:rPr>
                <w:rFonts w:hint="eastAsia" w:ascii="宋体" w:hAnsi="宋体" w:eastAsia="宋体" w:cs="宋体"/>
                <w:color w:val="auto"/>
                <w:kern w:val="0"/>
                <w:sz w:val="20"/>
                <w:szCs w:val="20"/>
              </w:rPr>
              <w:t>行政强制</w:t>
            </w:r>
          </w:p>
        </w:tc>
        <w:tc>
          <w:tcPr>
            <w:tcW w:w="6383" w:type="dxa"/>
            <w:gridSpan w:val="3"/>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宋体" w:hAnsi="宋体" w:eastAsia="宋体" w:cs="宋体"/>
                <w:b/>
                <w:bCs/>
                <w:color w:val="auto"/>
                <w:sz w:val="20"/>
                <w:szCs w:val="20"/>
                <w:lang w:val="en-US" w:eastAsia="zh-CN"/>
              </w:rPr>
            </w:pPr>
            <w:r>
              <w:rPr>
                <w:rFonts w:hint="eastAsia" w:ascii="宋体" w:hAnsi="宋体" w:eastAsia="宋体" w:cs="宋体"/>
                <w:b/>
                <w:bCs/>
                <w:color w:val="auto"/>
                <w:sz w:val="20"/>
                <w:szCs w:val="20"/>
                <w:lang w:val="en-US" w:eastAsia="zh-CN"/>
              </w:rPr>
              <w:t>0</w:t>
            </w:r>
          </w:p>
        </w:tc>
      </w:tr>
      <w:tr>
        <w:tblPrEx>
          <w:tblCellMar>
            <w:top w:w="0" w:type="dxa"/>
            <w:left w:w="0" w:type="dxa"/>
            <w:bottom w:w="0" w:type="dxa"/>
            <w:right w:w="0" w:type="dxa"/>
          </w:tblCellMar>
        </w:tblPrEx>
        <w:trPr>
          <w:trHeight w:val="474" w:hRule="atLeast"/>
          <w:jc w:val="center"/>
        </w:trPr>
        <w:tc>
          <w:tcPr>
            <w:tcW w:w="9060" w:type="dxa"/>
            <w:gridSpan w:val="4"/>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40" w:lineRule="auto"/>
              <w:jc w:val="center"/>
              <w:textAlignment w:val="auto"/>
              <w:rPr>
                <w:color w:val="auto"/>
              </w:rPr>
            </w:pPr>
            <w:r>
              <w:rPr>
                <w:rFonts w:hint="eastAsia" w:ascii="宋体" w:hAnsi="宋体" w:eastAsia="宋体" w:cs="宋体"/>
                <w:color w:val="auto"/>
                <w:kern w:val="0"/>
                <w:sz w:val="20"/>
                <w:szCs w:val="20"/>
              </w:rPr>
              <w:t>第二十条第（八）项</w:t>
            </w:r>
          </w:p>
        </w:tc>
      </w:tr>
      <w:tr>
        <w:tblPrEx>
          <w:tblCellMar>
            <w:top w:w="0" w:type="dxa"/>
            <w:left w:w="0" w:type="dxa"/>
            <w:bottom w:w="0" w:type="dxa"/>
            <w:right w:w="0" w:type="dxa"/>
          </w:tblCellMar>
        </w:tblPrEx>
        <w:trPr>
          <w:trHeight w:val="270" w:hRule="atLeast"/>
          <w:jc w:val="center"/>
        </w:trPr>
        <w:tc>
          <w:tcPr>
            <w:tcW w:w="2677"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40" w:lineRule="auto"/>
              <w:jc w:val="center"/>
              <w:textAlignment w:val="auto"/>
              <w:rPr>
                <w:color w:val="auto"/>
              </w:rPr>
            </w:pPr>
            <w:r>
              <w:rPr>
                <w:rFonts w:hint="eastAsia" w:ascii="宋体" w:hAnsi="宋体" w:eastAsia="宋体" w:cs="宋体"/>
                <w:color w:val="auto"/>
                <w:kern w:val="0"/>
                <w:sz w:val="20"/>
                <w:szCs w:val="20"/>
              </w:rPr>
              <w:t>信息内容</w:t>
            </w:r>
          </w:p>
        </w:tc>
        <w:tc>
          <w:tcPr>
            <w:tcW w:w="6383" w:type="dxa"/>
            <w:gridSpan w:val="3"/>
            <w:tcBorders>
              <w:top w:val="nil"/>
              <w:left w:val="nil"/>
              <w:bottom w:val="single" w:color="auto" w:sz="8" w:space="0"/>
              <w:right w:val="single" w:color="000000"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40" w:lineRule="auto"/>
              <w:jc w:val="center"/>
              <w:textAlignment w:val="auto"/>
              <w:rPr>
                <w:rFonts w:hint="eastAsia" w:eastAsiaTheme="minorEastAsia"/>
                <w:color w:val="auto"/>
                <w:lang w:eastAsia="zh-CN"/>
              </w:rPr>
            </w:pPr>
            <w:r>
              <w:rPr>
                <w:rFonts w:hint="eastAsia"/>
                <w:color w:val="auto"/>
                <w:lang w:eastAsia="zh-CN"/>
              </w:rPr>
              <w:t>本年收费金额（单位：万元）</w:t>
            </w:r>
          </w:p>
        </w:tc>
      </w:tr>
      <w:tr>
        <w:tblPrEx>
          <w:tblCellMar>
            <w:top w:w="0" w:type="dxa"/>
            <w:left w:w="0" w:type="dxa"/>
            <w:bottom w:w="0" w:type="dxa"/>
            <w:right w:w="0" w:type="dxa"/>
          </w:tblCellMar>
        </w:tblPrEx>
        <w:trPr>
          <w:trHeight w:val="551" w:hRule="atLeast"/>
          <w:jc w:val="center"/>
        </w:trPr>
        <w:tc>
          <w:tcPr>
            <w:tcW w:w="2677"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40" w:lineRule="auto"/>
              <w:jc w:val="left"/>
              <w:textAlignment w:val="auto"/>
              <w:rPr>
                <w:color w:val="auto"/>
              </w:rPr>
            </w:pPr>
            <w:r>
              <w:rPr>
                <w:rFonts w:hint="eastAsia" w:ascii="宋体" w:hAnsi="宋体" w:eastAsia="宋体" w:cs="宋体"/>
                <w:color w:val="auto"/>
                <w:kern w:val="0"/>
                <w:sz w:val="20"/>
                <w:szCs w:val="20"/>
              </w:rPr>
              <w:t>行政事业性收费</w:t>
            </w:r>
          </w:p>
        </w:tc>
        <w:tc>
          <w:tcPr>
            <w:tcW w:w="6383" w:type="dxa"/>
            <w:gridSpan w:val="3"/>
            <w:tcBorders>
              <w:top w:val="nil"/>
              <w:left w:val="nil"/>
              <w:bottom w:val="single" w:color="auto" w:sz="8" w:space="0"/>
              <w:right w:val="single" w:color="000000"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40" w:lineRule="auto"/>
              <w:jc w:val="center"/>
              <w:textAlignment w:val="auto"/>
              <w:rPr>
                <w:rFonts w:hint="default" w:eastAsia="宋体"/>
                <w:color w:val="auto"/>
                <w:lang w:val="en-US" w:eastAsia="zh-CN"/>
              </w:rPr>
            </w:pPr>
            <w:r>
              <w:rPr>
                <w:rFonts w:hint="eastAsia" w:eastAsia="宋体"/>
                <w:color w:val="auto"/>
                <w:lang w:val="en-US" w:eastAsia="zh-CN"/>
              </w:rPr>
              <w:t>0</w:t>
            </w:r>
          </w:p>
        </w:tc>
      </w:tr>
    </w:tbl>
    <w:p>
      <w:pPr>
        <w:pStyle w:val="5"/>
        <w:keepNext w:val="0"/>
        <w:keepLines w:val="0"/>
        <w:pageBreakBefore w:val="0"/>
        <w:widowControl/>
        <w:numPr>
          <w:ilvl w:val="0"/>
          <w:numId w:val="0"/>
        </w:numPr>
        <w:kinsoku/>
        <w:wordWrap/>
        <w:overflowPunct/>
        <w:topLinePunct w:val="0"/>
        <w:autoSpaceDE/>
        <w:autoSpaceDN/>
        <w:bidi w:val="0"/>
        <w:adjustRightInd/>
        <w:snapToGrid/>
        <w:spacing w:line="620" w:lineRule="exact"/>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三、收到和处理政府信息公开申请情况</w:t>
      </w:r>
    </w:p>
    <w:tbl>
      <w:tblPr>
        <w:tblStyle w:val="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18"/>
        <w:gridCol w:w="855"/>
        <w:gridCol w:w="1285"/>
        <w:gridCol w:w="1618"/>
        <w:gridCol w:w="756"/>
        <w:gridCol w:w="756"/>
        <w:gridCol w:w="815"/>
        <w:gridCol w:w="976"/>
        <w:gridCol w:w="713"/>
        <w:gridCol w:w="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758" w:type="dxa"/>
            <w:gridSpan w:val="3"/>
            <w:vMerge w:val="restart"/>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60" w:lineRule="auto"/>
              <w:jc w:val="center"/>
              <w:textAlignment w:val="auto"/>
              <w:rPr>
                <w:color w:val="auto"/>
              </w:rPr>
            </w:pPr>
            <w:r>
              <w:rPr>
                <w:rFonts w:hint="eastAsia" w:ascii="宋体" w:hAnsi="宋体" w:eastAsia="宋体" w:cs="宋体"/>
                <w:color w:val="auto"/>
                <w:kern w:val="0"/>
                <w:sz w:val="20"/>
                <w:szCs w:val="20"/>
              </w:rPr>
              <w:t>（本列数据的勾稽关系为：第一项加第二项之和，等于第三项加第四项之和）</w:t>
            </w:r>
          </w:p>
        </w:tc>
        <w:tc>
          <w:tcPr>
            <w:tcW w:w="6313" w:type="dxa"/>
            <w:gridSpan w:val="7"/>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color w:val="auto"/>
              </w:rPr>
            </w:pPr>
            <w:r>
              <w:rPr>
                <w:rFonts w:hint="eastAsia" w:ascii="宋体" w:hAnsi="宋体" w:eastAsia="宋体" w:cs="宋体"/>
                <w:color w:val="auto"/>
                <w:kern w:val="0"/>
                <w:sz w:val="20"/>
                <w:szCs w:val="20"/>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758" w:type="dxa"/>
            <w:gridSpan w:val="3"/>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ascii="宋体"/>
                <w:color w:val="auto"/>
                <w:sz w:val="24"/>
                <w:szCs w:val="24"/>
              </w:rPr>
            </w:pPr>
          </w:p>
        </w:tc>
        <w:tc>
          <w:tcPr>
            <w:tcW w:w="1618" w:type="dxa"/>
            <w:vMerge w:val="restart"/>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color w:val="auto"/>
              </w:rPr>
            </w:pPr>
            <w:r>
              <w:rPr>
                <w:rFonts w:hint="eastAsia" w:ascii="宋体" w:hAnsi="宋体" w:eastAsia="宋体" w:cs="宋体"/>
                <w:color w:val="auto"/>
                <w:kern w:val="0"/>
                <w:sz w:val="20"/>
                <w:szCs w:val="20"/>
              </w:rPr>
              <w:t>自然人</w:t>
            </w:r>
          </w:p>
        </w:tc>
        <w:tc>
          <w:tcPr>
            <w:tcW w:w="4016" w:type="dxa"/>
            <w:gridSpan w:val="5"/>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color w:val="auto"/>
              </w:rPr>
            </w:pPr>
            <w:r>
              <w:rPr>
                <w:rFonts w:hint="eastAsia" w:ascii="宋体" w:hAnsi="宋体" w:eastAsia="宋体" w:cs="宋体"/>
                <w:color w:val="auto"/>
                <w:kern w:val="0"/>
                <w:sz w:val="20"/>
                <w:szCs w:val="20"/>
              </w:rPr>
              <w:t>法人或其他组织</w:t>
            </w:r>
          </w:p>
        </w:tc>
        <w:tc>
          <w:tcPr>
            <w:tcW w:w="679" w:type="dxa"/>
            <w:vMerge w:val="restart"/>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color w:val="auto"/>
              </w:rPr>
            </w:pPr>
            <w:r>
              <w:rPr>
                <w:rFonts w:hint="eastAsia" w:ascii="宋体" w:hAnsi="宋体" w:eastAsia="宋体" w:cs="宋体"/>
                <w:color w:val="auto"/>
                <w:kern w:val="0"/>
                <w:sz w:val="20"/>
                <w:szCs w:val="2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3" w:hRule="atLeast"/>
          <w:jc w:val="center"/>
        </w:trPr>
        <w:tc>
          <w:tcPr>
            <w:tcW w:w="2758" w:type="dxa"/>
            <w:gridSpan w:val="3"/>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ascii="宋体"/>
                <w:color w:val="auto"/>
                <w:sz w:val="24"/>
                <w:szCs w:val="24"/>
              </w:rPr>
            </w:pPr>
          </w:p>
        </w:tc>
        <w:tc>
          <w:tcPr>
            <w:tcW w:w="1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textAlignment w:val="auto"/>
              <w:rPr>
                <w:rFonts w:ascii="宋体"/>
                <w:color w:val="auto"/>
                <w:sz w:val="24"/>
                <w:szCs w:val="24"/>
              </w:rPr>
            </w:pP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color w:val="auto"/>
              </w:rPr>
            </w:pPr>
            <w:r>
              <w:rPr>
                <w:rFonts w:hint="eastAsia" w:ascii="宋体" w:hAnsi="宋体" w:eastAsia="宋体" w:cs="宋体"/>
                <w:color w:val="auto"/>
                <w:kern w:val="0"/>
                <w:sz w:val="20"/>
                <w:szCs w:val="20"/>
              </w:rPr>
              <w:t>商业企业</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color w:val="auto"/>
              </w:rPr>
            </w:pPr>
            <w:r>
              <w:rPr>
                <w:rFonts w:hint="eastAsia" w:ascii="宋体" w:hAnsi="宋体" w:eastAsia="宋体" w:cs="宋体"/>
                <w:color w:val="auto"/>
                <w:kern w:val="0"/>
                <w:sz w:val="20"/>
                <w:szCs w:val="20"/>
              </w:rPr>
              <w:t>科研机构</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color w:val="auto"/>
              </w:rPr>
            </w:pPr>
            <w:r>
              <w:rPr>
                <w:rFonts w:hint="eastAsia" w:ascii="宋体" w:hAnsi="宋体" w:eastAsia="宋体" w:cs="宋体"/>
                <w:color w:val="auto"/>
                <w:kern w:val="0"/>
                <w:sz w:val="20"/>
                <w:szCs w:val="20"/>
              </w:rPr>
              <w:t>社会公益组织</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color w:val="auto"/>
              </w:rPr>
            </w:pPr>
            <w:r>
              <w:rPr>
                <w:rFonts w:hint="eastAsia" w:ascii="宋体" w:hAnsi="宋体" w:eastAsia="宋体" w:cs="宋体"/>
                <w:color w:val="auto"/>
                <w:kern w:val="0"/>
                <w:sz w:val="20"/>
                <w:szCs w:val="20"/>
              </w:rPr>
              <w:t>法律服务机构</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color w:val="auto"/>
              </w:rPr>
            </w:pPr>
            <w:r>
              <w:rPr>
                <w:rFonts w:hint="eastAsia" w:ascii="宋体" w:hAnsi="宋体" w:eastAsia="宋体" w:cs="宋体"/>
                <w:color w:val="auto"/>
                <w:kern w:val="0"/>
                <w:sz w:val="20"/>
                <w:szCs w:val="20"/>
              </w:rPr>
              <w:t>其他</w:t>
            </w:r>
          </w:p>
        </w:tc>
        <w:tc>
          <w:tcPr>
            <w:tcW w:w="679"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textAlignment w:val="auto"/>
              <w:rPr>
                <w:rFonts w:asci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758" w:type="dxa"/>
            <w:gridSpan w:val="3"/>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60" w:lineRule="auto"/>
              <w:jc w:val="left"/>
              <w:textAlignment w:val="auto"/>
              <w:rPr>
                <w:color w:val="auto"/>
              </w:rPr>
            </w:pPr>
            <w:r>
              <w:rPr>
                <w:rFonts w:hint="eastAsia" w:ascii="宋体" w:hAnsi="宋体" w:eastAsia="宋体" w:cs="宋体"/>
                <w:color w:val="auto"/>
                <w:kern w:val="0"/>
                <w:sz w:val="20"/>
                <w:szCs w:val="20"/>
              </w:rPr>
              <w:t>一、本年新收政府信息公开申请数量</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default" w:eastAsia="宋体"/>
                <w:color w:val="auto"/>
                <w:lang w:val="en-US" w:eastAsia="zh-CN"/>
              </w:rPr>
            </w:pPr>
            <w:r>
              <w:rPr>
                <w:rFonts w:hint="eastAsia" w:eastAsia="宋体"/>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default" w:eastAsia="宋体"/>
                <w:color w:val="auto"/>
                <w:lang w:val="en-US" w:eastAsia="zh-CN"/>
              </w:rPr>
            </w:pPr>
            <w:r>
              <w:rPr>
                <w:rFonts w:hint="eastAsia" w:eastAsia="宋体"/>
                <w:color w:val="auto"/>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default" w:eastAsia="宋体"/>
                <w:color w:val="auto"/>
                <w:lang w:val="en-US" w:eastAsia="zh-CN"/>
              </w:rPr>
            </w:pPr>
            <w:r>
              <w:rPr>
                <w:rFonts w:hint="eastAsia" w:eastAsia="宋体"/>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758" w:type="dxa"/>
            <w:gridSpan w:val="3"/>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60" w:lineRule="auto"/>
              <w:jc w:val="left"/>
              <w:textAlignment w:val="auto"/>
              <w:rPr>
                <w:color w:val="auto"/>
              </w:rPr>
            </w:pPr>
            <w:r>
              <w:rPr>
                <w:rFonts w:hint="eastAsia" w:ascii="宋体" w:hAnsi="宋体" w:eastAsia="宋体" w:cs="宋体"/>
                <w:color w:val="auto"/>
                <w:kern w:val="0"/>
                <w:sz w:val="20"/>
                <w:szCs w:val="20"/>
              </w:rPr>
              <w:t>二、上年结转政府信息公开申请数量</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default" w:eastAsia="宋体"/>
                <w:color w:val="auto"/>
                <w:lang w:val="en-US" w:eastAsia="zh-CN"/>
              </w:rPr>
            </w:pPr>
            <w:r>
              <w:rPr>
                <w:rFonts w:hint="eastAsia" w:eastAsia="宋体"/>
                <w:color w:val="auto"/>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default" w:eastAsia="宋体"/>
                <w:color w:val="auto"/>
                <w:lang w:val="en-US" w:eastAsia="zh-CN"/>
              </w:rPr>
            </w:pPr>
            <w:r>
              <w:rPr>
                <w:rFonts w:hint="eastAsia" w:eastAsia="宋体"/>
                <w:color w:val="auto"/>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default" w:eastAsia="宋体"/>
                <w:color w:val="auto"/>
                <w:lang w:val="en-US" w:eastAsia="zh-CN"/>
              </w:rPr>
            </w:pPr>
            <w:r>
              <w:rPr>
                <w:rFonts w:hint="eastAsia" w:eastAsia="宋体"/>
                <w:color w:val="auto"/>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default" w:eastAsia="宋体"/>
                <w:color w:val="auto"/>
                <w:lang w:val="en-US" w:eastAsia="zh-CN"/>
              </w:rPr>
            </w:pPr>
            <w:r>
              <w:rPr>
                <w:rFonts w:hint="eastAsia" w:eastAsia="宋体"/>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restart"/>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color w:val="auto"/>
              </w:rPr>
            </w:pPr>
            <w:r>
              <w:rPr>
                <w:rFonts w:hint="eastAsia" w:ascii="宋体" w:hAnsi="宋体" w:eastAsia="宋体" w:cs="宋体"/>
                <w:color w:val="auto"/>
                <w:kern w:val="0"/>
                <w:sz w:val="20"/>
                <w:szCs w:val="20"/>
              </w:rPr>
              <w:t>三、本年度办理结果</w:t>
            </w:r>
          </w:p>
        </w:tc>
        <w:tc>
          <w:tcPr>
            <w:tcW w:w="2140" w:type="dxa"/>
            <w:gridSpan w:val="2"/>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60" w:lineRule="auto"/>
              <w:jc w:val="left"/>
              <w:textAlignment w:val="auto"/>
              <w:rPr>
                <w:color w:val="auto"/>
              </w:rPr>
            </w:pPr>
            <w:r>
              <w:rPr>
                <w:rFonts w:hint="eastAsia" w:ascii="楷体" w:hAnsi="楷体" w:eastAsia="楷体" w:cs="楷体"/>
                <w:color w:val="auto"/>
                <w:kern w:val="0"/>
                <w:sz w:val="20"/>
                <w:szCs w:val="20"/>
              </w:rPr>
              <w:t>（一）予以公开</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default" w:eastAsia="宋体"/>
                <w:color w:val="auto"/>
                <w:lang w:val="en-US" w:eastAsia="zh-CN"/>
              </w:rPr>
            </w:pPr>
            <w:r>
              <w:rPr>
                <w:rFonts w:hint="eastAsia" w:eastAsia="宋体"/>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default" w:eastAsia="宋体"/>
                <w:color w:val="auto"/>
                <w:lang w:val="en-US" w:eastAsia="zh-CN"/>
              </w:rPr>
            </w:pPr>
            <w:r>
              <w:rPr>
                <w:rFonts w:hint="eastAsia" w:eastAsia="宋体"/>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default" w:eastAsia="宋体"/>
                <w:color w:val="auto"/>
                <w:lang w:val="en-US" w:eastAsia="zh-CN"/>
              </w:rPr>
            </w:pPr>
            <w:r>
              <w:rPr>
                <w:rFonts w:hint="eastAsia" w:eastAsia="宋体"/>
                <w:color w:val="auto"/>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default" w:eastAsia="宋体"/>
                <w:color w:val="auto"/>
                <w:lang w:val="en-US" w:eastAsia="zh-CN"/>
              </w:rPr>
            </w:pPr>
            <w:r>
              <w:rPr>
                <w:rFonts w:hint="eastAsia" w:eastAsia="宋体"/>
                <w:color w:val="auto"/>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default" w:eastAsia="宋体"/>
                <w:color w:val="auto"/>
                <w:lang w:val="en-US" w:eastAsia="zh-CN"/>
              </w:rPr>
            </w:pPr>
            <w:r>
              <w:rPr>
                <w:rFonts w:hint="eastAsia" w:eastAsia="宋体"/>
                <w:color w:val="auto"/>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default" w:eastAsia="宋体"/>
                <w:color w:val="auto"/>
                <w:lang w:val="en-US" w:eastAsia="zh-CN"/>
              </w:rPr>
            </w:pPr>
            <w:r>
              <w:rPr>
                <w:rFonts w:hint="eastAsia" w:eastAsia="宋体"/>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textAlignment w:val="auto"/>
              <w:rPr>
                <w:rFonts w:ascii="宋体"/>
                <w:color w:val="auto"/>
                <w:sz w:val="24"/>
                <w:szCs w:val="24"/>
              </w:rPr>
            </w:pPr>
          </w:p>
        </w:tc>
        <w:tc>
          <w:tcPr>
            <w:tcW w:w="2140" w:type="dxa"/>
            <w:gridSpan w:val="2"/>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60" w:lineRule="auto"/>
              <w:jc w:val="left"/>
              <w:textAlignment w:val="auto"/>
              <w:rPr>
                <w:color w:val="auto"/>
              </w:rPr>
            </w:pPr>
            <w:r>
              <w:rPr>
                <w:rFonts w:hint="eastAsia" w:ascii="楷体" w:hAnsi="楷体" w:eastAsia="楷体" w:cs="楷体"/>
                <w:color w:val="auto"/>
                <w:kern w:val="0"/>
                <w:sz w:val="20"/>
                <w:szCs w:val="20"/>
              </w:rPr>
              <w:t>（二）部分公开（区分处理的，只计这一情形，不计其他情形）</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default" w:eastAsia="宋体"/>
                <w:color w:val="auto"/>
                <w:lang w:val="en-US" w:eastAsia="zh-CN"/>
              </w:rPr>
            </w:pPr>
            <w:r>
              <w:rPr>
                <w:rFonts w:hint="eastAsia" w:eastAsia="宋体"/>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default" w:eastAsia="宋体"/>
                <w:color w:val="auto"/>
                <w:lang w:val="en-US" w:eastAsia="zh-CN"/>
              </w:rPr>
            </w:pPr>
            <w:r>
              <w:rPr>
                <w:rFonts w:hint="eastAsia" w:eastAsia="宋体"/>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default" w:eastAsia="宋体"/>
                <w:color w:val="auto"/>
                <w:lang w:val="en-US" w:eastAsia="zh-CN"/>
              </w:rPr>
            </w:pPr>
            <w:r>
              <w:rPr>
                <w:rFonts w:hint="eastAsia" w:eastAsia="宋体"/>
                <w:color w:val="auto"/>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default" w:eastAsia="宋体"/>
                <w:color w:val="auto"/>
                <w:lang w:val="en-US" w:eastAsia="zh-CN"/>
              </w:rPr>
            </w:pPr>
            <w:r>
              <w:rPr>
                <w:rFonts w:hint="eastAsia" w:eastAsia="宋体"/>
                <w:color w:val="auto"/>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default" w:eastAsia="宋体"/>
                <w:color w:val="auto"/>
                <w:lang w:val="en-US" w:eastAsia="zh-CN"/>
              </w:rPr>
            </w:pPr>
            <w:r>
              <w:rPr>
                <w:rFonts w:hint="eastAsia" w:eastAsia="宋体"/>
                <w:color w:val="auto"/>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textAlignment w:val="auto"/>
              <w:rPr>
                <w:rFonts w:ascii="宋体"/>
                <w:color w:val="auto"/>
                <w:sz w:val="24"/>
                <w:szCs w:val="24"/>
              </w:rPr>
            </w:pPr>
          </w:p>
        </w:tc>
        <w:tc>
          <w:tcPr>
            <w:tcW w:w="855" w:type="dxa"/>
            <w:vMerge w:val="restart"/>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60" w:lineRule="auto"/>
              <w:jc w:val="left"/>
              <w:textAlignment w:val="auto"/>
              <w:rPr>
                <w:color w:val="auto"/>
              </w:rPr>
            </w:pPr>
            <w:r>
              <w:rPr>
                <w:rFonts w:hint="eastAsia" w:ascii="楷体" w:hAnsi="楷体" w:eastAsia="楷体" w:cs="楷体"/>
                <w:color w:val="auto"/>
                <w:kern w:val="0"/>
                <w:sz w:val="20"/>
                <w:szCs w:val="20"/>
              </w:rPr>
              <w:t>（三）不予公开</w:t>
            </w:r>
          </w:p>
        </w:tc>
        <w:tc>
          <w:tcPr>
            <w:tcW w:w="128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60" w:lineRule="auto"/>
              <w:jc w:val="left"/>
              <w:textAlignment w:val="auto"/>
              <w:rPr>
                <w:color w:val="auto"/>
              </w:rPr>
            </w:pPr>
            <w:r>
              <w:rPr>
                <w:rFonts w:hint="eastAsia" w:ascii="楷体" w:hAnsi="楷体" w:eastAsia="楷体" w:cs="楷体"/>
                <w:color w:val="auto"/>
                <w:kern w:val="0"/>
                <w:sz w:val="20"/>
                <w:szCs w:val="20"/>
              </w:rPr>
              <w:t>1.属于国家秘密</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textAlignment w:val="auto"/>
              <w:rPr>
                <w:rFonts w:ascii="宋体"/>
                <w:color w:val="auto"/>
                <w:sz w:val="24"/>
                <w:szCs w:val="24"/>
              </w:rPr>
            </w:pPr>
          </w:p>
        </w:tc>
        <w:tc>
          <w:tcPr>
            <w:tcW w:w="855"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ascii="宋体"/>
                <w:color w:val="auto"/>
                <w:sz w:val="24"/>
                <w:szCs w:val="24"/>
              </w:rPr>
            </w:pPr>
          </w:p>
        </w:tc>
        <w:tc>
          <w:tcPr>
            <w:tcW w:w="128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60" w:lineRule="auto"/>
              <w:jc w:val="left"/>
              <w:textAlignment w:val="auto"/>
              <w:rPr>
                <w:color w:val="auto"/>
              </w:rPr>
            </w:pPr>
            <w:r>
              <w:rPr>
                <w:rFonts w:hint="eastAsia" w:ascii="楷体" w:hAnsi="楷体" w:eastAsia="楷体" w:cs="楷体"/>
                <w:color w:val="auto"/>
                <w:kern w:val="0"/>
                <w:sz w:val="20"/>
                <w:szCs w:val="20"/>
              </w:rPr>
              <w:t>2.其他法律行政法规禁止公开</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textAlignment w:val="auto"/>
              <w:rPr>
                <w:rFonts w:ascii="宋体"/>
                <w:color w:val="auto"/>
                <w:sz w:val="24"/>
                <w:szCs w:val="24"/>
              </w:rPr>
            </w:pPr>
          </w:p>
        </w:tc>
        <w:tc>
          <w:tcPr>
            <w:tcW w:w="855"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ascii="宋体"/>
                <w:color w:val="auto"/>
                <w:sz w:val="24"/>
                <w:szCs w:val="24"/>
              </w:rPr>
            </w:pPr>
          </w:p>
        </w:tc>
        <w:tc>
          <w:tcPr>
            <w:tcW w:w="128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60" w:lineRule="auto"/>
              <w:jc w:val="left"/>
              <w:textAlignment w:val="auto"/>
              <w:rPr>
                <w:color w:val="auto"/>
              </w:rPr>
            </w:pPr>
            <w:r>
              <w:rPr>
                <w:rFonts w:hint="eastAsia" w:ascii="楷体" w:hAnsi="楷体" w:eastAsia="楷体" w:cs="楷体"/>
                <w:color w:val="auto"/>
                <w:kern w:val="0"/>
                <w:sz w:val="20"/>
                <w:szCs w:val="20"/>
              </w:rPr>
              <w:t>3.危及“三安全一稳定”</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default" w:eastAsiaTheme="minorEastAsia"/>
                <w:color w:val="auto"/>
                <w:lang w:val="en-US" w:eastAsia="zh-CN"/>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textAlignment w:val="auto"/>
              <w:rPr>
                <w:rFonts w:ascii="宋体"/>
                <w:color w:val="auto"/>
                <w:sz w:val="24"/>
                <w:szCs w:val="24"/>
              </w:rPr>
            </w:pPr>
          </w:p>
        </w:tc>
        <w:tc>
          <w:tcPr>
            <w:tcW w:w="855"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ascii="宋体"/>
                <w:color w:val="auto"/>
                <w:sz w:val="24"/>
                <w:szCs w:val="24"/>
              </w:rPr>
            </w:pPr>
          </w:p>
        </w:tc>
        <w:tc>
          <w:tcPr>
            <w:tcW w:w="128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60" w:lineRule="auto"/>
              <w:jc w:val="left"/>
              <w:textAlignment w:val="auto"/>
              <w:rPr>
                <w:color w:val="auto"/>
              </w:rPr>
            </w:pPr>
            <w:r>
              <w:rPr>
                <w:rFonts w:hint="eastAsia" w:ascii="楷体" w:hAnsi="楷体" w:eastAsia="楷体" w:cs="楷体"/>
                <w:color w:val="auto"/>
                <w:kern w:val="0"/>
                <w:sz w:val="20"/>
                <w:szCs w:val="20"/>
              </w:rPr>
              <w:t>4.保护第三方合法权益</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textAlignment w:val="auto"/>
              <w:rPr>
                <w:rFonts w:ascii="宋体"/>
                <w:color w:val="auto"/>
                <w:sz w:val="24"/>
                <w:szCs w:val="24"/>
              </w:rPr>
            </w:pPr>
          </w:p>
        </w:tc>
        <w:tc>
          <w:tcPr>
            <w:tcW w:w="855"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ascii="宋体"/>
                <w:color w:val="auto"/>
                <w:sz w:val="24"/>
                <w:szCs w:val="24"/>
              </w:rPr>
            </w:pPr>
          </w:p>
        </w:tc>
        <w:tc>
          <w:tcPr>
            <w:tcW w:w="128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60" w:lineRule="auto"/>
              <w:jc w:val="left"/>
              <w:textAlignment w:val="auto"/>
              <w:rPr>
                <w:color w:val="auto"/>
              </w:rPr>
            </w:pPr>
            <w:r>
              <w:rPr>
                <w:rFonts w:hint="eastAsia" w:ascii="楷体" w:hAnsi="楷体" w:eastAsia="楷体" w:cs="楷体"/>
                <w:color w:val="auto"/>
                <w:kern w:val="0"/>
                <w:sz w:val="20"/>
                <w:szCs w:val="20"/>
              </w:rPr>
              <w:t>5.属于三类内部事务信息</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textAlignment w:val="auto"/>
              <w:rPr>
                <w:rFonts w:ascii="宋体"/>
                <w:color w:val="auto"/>
                <w:sz w:val="24"/>
                <w:szCs w:val="24"/>
              </w:rPr>
            </w:pPr>
          </w:p>
        </w:tc>
        <w:tc>
          <w:tcPr>
            <w:tcW w:w="855"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ascii="宋体"/>
                <w:color w:val="auto"/>
                <w:sz w:val="24"/>
                <w:szCs w:val="24"/>
              </w:rPr>
            </w:pPr>
          </w:p>
        </w:tc>
        <w:tc>
          <w:tcPr>
            <w:tcW w:w="128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60" w:lineRule="auto"/>
              <w:jc w:val="left"/>
              <w:textAlignment w:val="auto"/>
              <w:rPr>
                <w:color w:val="auto"/>
              </w:rPr>
            </w:pPr>
            <w:r>
              <w:rPr>
                <w:rFonts w:hint="eastAsia" w:ascii="楷体" w:hAnsi="楷体" w:eastAsia="楷体" w:cs="楷体"/>
                <w:color w:val="auto"/>
                <w:kern w:val="0"/>
                <w:sz w:val="20"/>
                <w:szCs w:val="20"/>
              </w:rPr>
              <w:t>6.属于四类过程性信息</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textAlignment w:val="auto"/>
              <w:rPr>
                <w:rFonts w:ascii="宋体"/>
                <w:color w:val="auto"/>
                <w:sz w:val="24"/>
                <w:szCs w:val="24"/>
              </w:rPr>
            </w:pPr>
          </w:p>
        </w:tc>
        <w:tc>
          <w:tcPr>
            <w:tcW w:w="855"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ascii="宋体"/>
                <w:color w:val="auto"/>
                <w:sz w:val="24"/>
                <w:szCs w:val="24"/>
              </w:rPr>
            </w:pPr>
          </w:p>
        </w:tc>
        <w:tc>
          <w:tcPr>
            <w:tcW w:w="128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60" w:lineRule="auto"/>
              <w:jc w:val="left"/>
              <w:textAlignment w:val="auto"/>
              <w:rPr>
                <w:color w:val="auto"/>
              </w:rPr>
            </w:pPr>
            <w:r>
              <w:rPr>
                <w:rFonts w:hint="eastAsia" w:ascii="楷体" w:hAnsi="楷体" w:eastAsia="楷体" w:cs="楷体"/>
                <w:color w:val="auto"/>
                <w:kern w:val="0"/>
                <w:sz w:val="20"/>
                <w:szCs w:val="20"/>
              </w:rPr>
              <w:t>7.属于行政执法案卷</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textAlignment w:val="auto"/>
              <w:rPr>
                <w:rFonts w:ascii="宋体"/>
                <w:color w:val="auto"/>
                <w:sz w:val="24"/>
                <w:szCs w:val="24"/>
              </w:rPr>
            </w:pPr>
          </w:p>
        </w:tc>
        <w:tc>
          <w:tcPr>
            <w:tcW w:w="855"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ascii="宋体"/>
                <w:color w:val="auto"/>
                <w:sz w:val="24"/>
                <w:szCs w:val="24"/>
              </w:rPr>
            </w:pPr>
          </w:p>
        </w:tc>
        <w:tc>
          <w:tcPr>
            <w:tcW w:w="128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60" w:lineRule="auto"/>
              <w:jc w:val="left"/>
              <w:textAlignment w:val="auto"/>
              <w:rPr>
                <w:color w:val="auto"/>
              </w:rPr>
            </w:pPr>
            <w:r>
              <w:rPr>
                <w:rFonts w:hint="eastAsia" w:ascii="楷体" w:hAnsi="楷体" w:eastAsia="楷体" w:cs="楷体"/>
                <w:color w:val="auto"/>
                <w:kern w:val="0"/>
                <w:sz w:val="20"/>
                <w:szCs w:val="20"/>
              </w:rPr>
              <w:t>8.属于行政查询事项</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textAlignment w:val="auto"/>
              <w:rPr>
                <w:rFonts w:ascii="宋体"/>
                <w:color w:val="auto"/>
                <w:sz w:val="24"/>
                <w:szCs w:val="24"/>
              </w:rPr>
            </w:pPr>
          </w:p>
        </w:tc>
        <w:tc>
          <w:tcPr>
            <w:tcW w:w="855" w:type="dxa"/>
            <w:vMerge w:val="restart"/>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60" w:lineRule="auto"/>
              <w:jc w:val="left"/>
              <w:textAlignment w:val="auto"/>
              <w:rPr>
                <w:color w:val="auto"/>
              </w:rPr>
            </w:pPr>
            <w:r>
              <w:rPr>
                <w:rFonts w:hint="eastAsia" w:ascii="楷体" w:hAnsi="楷体" w:eastAsia="楷体" w:cs="楷体"/>
                <w:color w:val="auto"/>
                <w:kern w:val="0"/>
                <w:sz w:val="20"/>
                <w:szCs w:val="20"/>
              </w:rPr>
              <w:t>（四）无法提供</w:t>
            </w:r>
          </w:p>
        </w:tc>
        <w:tc>
          <w:tcPr>
            <w:tcW w:w="128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60" w:lineRule="auto"/>
              <w:jc w:val="left"/>
              <w:textAlignment w:val="auto"/>
              <w:rPr>
                <w:color w:val="auto"/>
              </w:rPr>
            </w:pPr>
            <w:r>
              <w:rPr>
                <w:rFonts w:hint="eastAsia" w:ascii="楷体" w:hAnsi="楷体" w:eastAsia="楷体" w:cs="楷体"/>
                <w:color w:val="auto"/>
                <w:kern w:val="0"/>
                <w:sz w:val="20"/>
                <w:szCs w:val="20"/>
              </w:rPr>
              <w:t>1.本机关不掌握相关政府信息</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textAlignment w:val="auto"/>
              <w:rPr>
                <w:rFonts w:ascii="宋体"/>
                <w:color w:val="auto"/>
                <w:sz w:val="24"/>
                <w:szCs w:val="24"/>
              </w:rPr>
            </w:pPr>
          </w:p>
        </w:tc>
        <w:tc>
          <w:tcPr>
            <w:tcW w:w="855"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ascii="宋体"/>
                <w:color w:val="auto"/>
                <w:sz w:val="24"/>
                <w:szCs w:val="24"/>
              </w:rPr>
            </w:pPr>
          </w:p>
        </w:tc>
        <w:tc>
          <w:tcPr>
            <w:tcW w:w="128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60" w:lineRule="auto"/>
              <w:jc w:val="left"/>
              <w:textAlignment w:val="auto"/>
              <w:rPr>
                <w:color w:val="auto"/>
              </w:rPr>
            </w:pPr>
            <w:r>
              <w:rPr>
                <w:rFonts w:hint="eastAsia" w:ascii="楷体" w:hAnsi="楷体" w:eastAsia="楷体" w:cs="楷体"/>
                <w:color w:val="auto"/>
                <w:kern w:val="0"/>
                <w:sz w:val="20"/>
                <w:szCs w:val="20"/>
              </w:rPr>
              <w:t>2.没有现成信息需要另行制作</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textAlignment w:val="auto"/>
              <w:rPr>
                <w:rFonts w:ascii="宋体"/>
                <w:color w:val="auto"/>
                <w:sz w:val="24"/>
                <w:szCs w:val="24"/>
              </w:rPr>
            </w:pPr>
          </w:p>
        </w:tc>
        <w:tc>
          <w:tcPr>
            <w:tcW w:w="855"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ascii="宋体"/>
                <w:color w:val="auto"/>
                <w:sz w:val="24"/>
                <w:szCs w:val="24"/>
              </w:rPr>
            </w:pPr>
          </w:p>
        </w:tc>
        <w:tc>
          <w:tcPr>
            <w:tcW w:w="128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60" w:lineRule="auto"/>
              <w:jc w:val="left"/>
              <w:textAlignment w:val="auto"/>
              <w:rPr>
                <w:color w:val="auto"/>
              </w:rPr>
            </w:pPr>
            <w:r>
              <w:rPr>
                <w:rFonts w:hint="eastAsia" w:ascii="楷体" w:hAnsi="楷体" w:eastAsia="楷体" w:cs="楷体"/>
                <w:color w:val="auto"/>
                <w:kern w:val="0"/>
                <w:sz w:val="20"/>
                <w:szCs w:val="20"/>
              </w:rPr>
              <w:t>3.补正后申请内容仍不明确</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15" w:hRule="atLeast"/>
          <w:jc w:val="center"/>
        </w:trPr>
        <w:tc>
          <w:tcPr>
            <w:tcW w:w="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textAlignment w:val="auto"/>
              <w:rPr>
                <w:rFonts w:ascii="宋体"/>
                <w:color w:val="auto"/>
                <w:sz w:val="24"/>
                <w:szCs w:val="24"/>
              </w:rPr>
            </w:pPr>
          </w:p>
        </w:tc>
        <w:tc>
          <w:tcPr>
            <w:tcW w:w="855" w:type="dxa"/>
            <w:vMerge w:val="restart"/>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60" w:lineRule="auto"/>
              <w:jc w:val="left"/>
              <w:textAlignment w:val="auto"/>
              <w:rPr>
                <w:color w:val="auto"/>
              </w:rPr>
            </w:pPr>
            <w:r>
              <w:rPr>
                <w:rFonts w:hint="eastAsia" w:ascii="楷体" w:hAnsi="楷体" w:eastAsia="楷体" w:cs="楷体"/>
                <w:color w:val="auto"/>
                <w:kern w:val="0"/>
                <w:sz w:val="20"/>
                <w:szCs w:val="20"/>
              </w:rPr>
              <w:t>（五）不予处理</w:t>
            </w:r>
          </w:p>
        </w:tc>
        <w:tc>
          <w:tcPr>
            <w:tcW w:w="128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60" w:lineRule="auto"/>
              <w:jc w:val="left"/>
              <w:textAlignment w:val="auto"/>
              <w:rPr>
                <w:color w:val="auto"/>
              </w:rPr>
            </w:pPr>
            <w:r>
              <w:rPr>
                <w:rFonts w:hint="eastAsia" w:ascii="楷体" w:hAnsi="楷体" w:eastAsia="楷体" w:cs="楷体"/>
                <w:color w:val="auto"/>
                <w:kern w:val="0"/>
                <w:sz w:val="20"/>
                <w:szCs w:val="20"/>
              </w:rPr>
              <w:t>1.信访举报投诉类申请</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textAlignment w:val="auto"/>
              <w:rPr>
                <w:rFonts w:ascii="宋体"/>
                <w:color w:val="auto"/>
                <w:sz w:val="24"/>
                <w:szCs w:val="24"/>
              </w:rPr>
            </w:pPr>
          </w:p>
        </w:tc>
        <w:tc>
          <w:tcPr>
            <w:tcW w:w="855"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ascii="宋体"/>
                <w:color w:val="auto"/>
                <w:sz w:val="24"/>
                <w:szCs w:val="24"/>
              </w:rPr>
            </w:pPr>
          </w:p>
        </w:tc>
        <w:tc>
          <w:tcPr>
            <w:tcW w:w="128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60" w:lineRule="auto"/>
              <w:jc w:val="left"/>
              <w:textAlignment w:val="auto"/>
              <w:rPr>
                <w:color w:val="auto"/>
              </w:rPr>
            </w:pPr>
            <w:r>
              <w:rPr>
                <w:rFonts w:hint="eastAsia" w:ascii="楷体" w:hAnsi="楷体" w:eastAsia="楷体" w:cs="楷体"/>
                <w:color w:val="auto"/>
                <w:kern w:val="0"/>
                <w:sz w:val="20"/>
                <w:szCs w:val="20"/>
              </w:rPr>
              <w:t>2.重复申请</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textAlignment w:val="auto"/>
              <w:rPr>
                <w:rFonts w:ascii="宋体"/>
                <w:color w:val="auto"/>
                <w:sz w:val="24"/>
                <w:szCs w:val="24"/>
              </w:rPr>
            </w:pPr>
          </w:p>
        </w:tc>
        <w:tc>
          <w:tcPr>
            <w:tcW w:w="855"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ascii="宋体"/>
                <w:color w:val="auto"/>
                <w:sz w:val="24"/>
                <w:szCs w:val="24"/>
              </w:rPr>
            </w:pPr>
          </w:p>
        </w:tc>
        <w:tc>
          <w:tcPr>
            <w:tcW w:w="128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60" w:lineRule="auto"/>
              <w:jc w:val="left"/>
              <w:textAlignment w:val="auto"/>
              <w:rPr>
                <w:color w:val="auto"/>
              </w:rPr>
            </w:pPr>
            <w:r>
              <w:rPr>
                <w:rFonts w:hint="eastAsia" w:ascii="楷体" w:hAnsi="楷体" w:eastAsia="楷体" w:cs="楷体"/>
                <w:color w:val="auto"/>
                <w:kern w:val="0"/>
                <w:sz w:val="20"/>
                <w:szCs w:val="20"/>
              </w:rPr>
              <w:t>3.要求提供公开出版物</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textAlignment w:val="auto"/>
              <w:rPr>
                <w:rFonts w:ascii="宋体"/>
                <w:color w:val="auto"/>
                <w:sz w:val="24"/>
                <w:szCs w:val="24"/>
              </w:rPr>
            </w:pPr>
          </w:p>
        </w:tc>
        <w:tc>
          <w:tcPr>
            <w:tcW w:w="855"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ascii="宋体"/>
                <w:color w:val="auto"/>
                <w:sz w:val="24"/>
                <w:szCs w:val="24"/>
              </w:rPr>
            </w:pPr>
          </w:p>
        </w:tc>
        <w:tc>
          <w:tcPr>
            <w:tcW w:w="128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color w:val="auto"/>
              </w:rPr>
            </w:pPr>
            <w:r>
              <w:rPr>
                <w:rFonts w:hint="eastAsia" w:ascii="楷体" w:hAnsi="楷体" w:eastAsia="楷体" w:cs="楷体"/>
                <w:color w:val="auto"/>
                <w:kern w:val="0"/>
                <w:sz w:val="20"/>
                <w:szCs w:val="20"/>
              </w:rPr>
              <w:t>4.无正当理由大量反复申请</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textAlignment w:val="auto"/>
              <w:rPr>
                <w:rFonts w:ascii="宋体"/>
                <w:color w:val="auto"/>
                <w:sz w:val="24"/>
                <w:szCs w:val="24"/>
              </w:rPr>
            </w:pPr>
          </w:p>
        </w:tc>
        <w:tc>
          <w:tcPr>
            <w:tcW w:w="855"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ascii="宋体"/>
                <w:color w:val="auto"/>
                <w:sz w:val="24"/>
                <w:szCs w:val="24"/>
              </w:rPr>
            </w:pPr>
          </w:p>
        </w:tc>
        <w:tc>
          <w:tcPr>
            <w:tcW w:w="128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color w:val="auto"/>
              </w:rPr>
            </w:pPr>
            <w:r>
              <w:rPr>
                <w:rFonts w:hint="eastAsia" w:ascii="楷体" w:hAnsi="楷体" w:eastAsia="楷体" w:cs="楷体"/>
                <w:color w:val="auto"/>
                <w:kern w:val="0"/>
                <w:sz w:val="20"/>
                <w:szCs w:val="20"/>
              </w:rPr>
              <w:t>5.要求行政机关确认或重新出具已获取信息</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04" w:hRule="atLeast"/>
          <w:jc w:val="center"/>
        </w:trPr>
        <w:tc>
          <w:tcPr>
            <w:tcW w:w="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textAlignment w:val="auto"/>
              <w:rPr>
                <w:rFonts w:ascii="宋体"/>
                <w:color w:val="auto"/>
                <w:sz w:val="24"/>
                <w:szCs w:val="24"/>
              </w:rPr>
            </w:pPr>
          </w:p>
        </w:tc>
        <w:tc>
          <w:tcPr>
            <w:tcW w:w="855" w:type="dxa"/>
            <w:vMerge w:val="restart"/>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60" w:lineRule="auto"/>
              <w:jc w:val="left"/>
              <w:textAlignment w:val="auto"/>
              <w:rPr>
                <w:color w:val="auto"/>
              </w:rPr>
            </w:pPr>
            <w:r>
              <w:rPr>
                <w:rFonts w:hint="eastAsia" w:ascii="楷体" w:hAnsi="楷体" w:eastAsia="楷体" w:cs="楷体"/>
                <w:color w:val="auto"/>
                <w:kern w:val="0"/>
                <w:sz w:val="20"/>
                <w:szCs w:val="20"/>
              </w:rPr>
              <w:t>（六）其他处理</w:t>
            </w:r>
          </w:p>
        </w:tc>
        <w:tc>
          <w:tcPr>
            <w:tcW w:w="128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楷体" w:hAnsi="楷体" w:eastAsia="楷体" w:cs="楷体"/>
                <w:color w:val="auto"/>
                <w:kern w:val="0"/>
                <w:sz w:val="20"/>
                <w:szCs w:val="20"/>
                <w:lang w:val="en-US" w:eastAsia="zh-CN"/>
              </w:rPr>
            </w:pPr>
            <w:r>
              <w:rPr>
                <w:rFonts w:hint="eastAsia" w:ascii="楷体" w:hAnsi="楷体" w:eastAsia="楷体" w:cs="楷体"/>
                <w:color w:val="auto"/>
                <w:kern w:val="0"/>
                <w:sz w:val="20"/>
                <w:szCs w:val="20"/>
                <w:lang w:val="en-US" w:eastAsia="zh-CN"/>
              </w:rPr>
              <w:t>1.申请人无正当理由逾期不补正、行政机关不再处理其政府信息公开申请</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textAlignment w:val="auto"/>
              <w:rPr>
                <w:rFonts w:ascii="宋体"/>
                <w:color w:val="auto"/>
                <w:sz w:val="24"/>
                <w:szCs w:val="24"/>
              </w:rPr>
            </w:pPr>
          </w:p>
        </w:tc>
        <w:tc>
          <w:tcPr>
            <w:tcW w:w="855"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60" w:lineRule="auto"/>
              <w:jc w:val="left"/>
              <w:textAlignment w:val="auto"/>
              <w:rPr>
                <w:color w:val="auto"/>
              </w:rPr>
            </w:pPr>
          </w:p>
        </w:tc>
        <w:tc>
          <w:tcPr>
            <w:tcW w:w="1285"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line="360" w:lineRule="auto"/>
              <w:jc w:val="left"/>
              <w:textAlignment w:val="auto"/>
              <w:rPr>
                <w:rFonts w:hint="default" w:ascii="楷体" w:hAnsi="楷体" w:eastAsia="楷体" w:cs="楷体"/>
                <w:color w:val="auto"/>
                <w:kern w:val="0"/>
                <w:sz w:val="20"/>
                <w:szCs w:val="20"/>
                <w:lang w:val="en-US" w:eastAsia="zh-CN"/>
              </w:rPr>
            </w:pPr>
            <w:r>
              <w:rPr>
                <w:rFonts w:hint="eastAsia" w:ascii="楷体" w:hAnsi="楷体" w:eastAsia="楷体" w:cs="楷体"/>
                <w:color w:val="auto"/>
                <w:kern w:val="0"/>
                <w:sz w:val="20"/>
                <w:szCs w:val="20"/>
                <w:lang w:val="en-US" w:eastAsia="zh-CN"/>
              </w:rPr>
              <w:t>2.申请人逾期未按收费通知要求缴纳费用、行政机关不再处理其政府信息公开申请</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default" w:eastAsiaTheme="minorEastAsia"/>
                <w:color w:val="auto"/>
                <w:lang w:val="en-US" w:eastAsia="zh-CN"/>
              </w:rPr>
            </w:pPr>
            <w:r>
              <w:rPr>
                <w:rFonts w:hint="eastAsia"/>
                <w:color w:val="auto"/>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textAlignment w:val="auto"/>
              <w:rPr>
                <w:rFonts w:ascii="宋体"/>
                <w:color w:val="auto"/>
                <w:sz w:val="24"/>
                <w:szCs w:val="24"/>
              </w:rPr>
            </w:pPr>
          </w:p>
        </w:tc>
        <w:tc>
          <w:tcPr>
            <w:tcW w:w="855"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60" w:lineRule="auto"/>
              <w:jc w:val="left"/>
              <w:textAlignment w:val="auto"/>
              <w:rPr>
                <w:color w:val="auto"/>
              </w:rPr>
            </w:pPr>
          </w:p>
        </w:tc>
        <w:tc>
          <w:tcPr>
            <w:tcW w:w="128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60" w:lineRule="auto"/>
              <w:jc w:val="left"/>
              <w:textAlignment w:val="auto"/>
              <w:rPr>
                <w:rFonts w:hint="default" w:ascii="楷体" w:hAnsi="楷体" w:eastAsia="楷体" w:cs="楷体"/>
                <w:color w:val="auto"/>
                <w:kern w:val="0"/>
                <w:sz w:val="20"/>
                <w:szCs w:val="20"/>
                <w:lang w:val="en-US" w:eastAsia="zh-CN"/>
              </w:rPr>
            </w:pPr>
            <w:r>
              <w:rPr>
                <w:rFonts w:hint="eastAsia" w:ascii="楷体" w:hAnsi="楷体" w:eastAsia="楷体" w:cs="楷体"/>
                <w:color w:val="auto"/>
                <w:kern w:val="0"/>
                <w:sz w:val="20"/>
                <w:szCs w:val="20"/>
                <w:lang w:val="en-US" w:eastAsia="zh-CN"/>
              </w:rPr>
              <w:t>3.其他</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textAlignment w:val="auto"/>
              <w:rPr>
                <w:rFonts w:ascii="宋体"/>
                <w:color w:val="auto"/>
                <w:sz w:val="24"/>
                <w:szCs w:val="24"/>
              </w:rPr>
            </w:pPr>
          </w:p>
        </w:tc>
        <w:tc>
          <w:tcPr>
            <w:tcW w:w="2140" w:type="dxa"/>
            <w:gridSpan w:val="2"/>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60" w:lineRule="auto"/>
              <w:jc w:val="left"/>
              <w:textAlignment w:val="auto"/>
              <w:rPr>
                <w:color w:val="auto"/>
              </w:rPr>
            </w:pPr>
            <w:r>
              <w:rPr>
                <w:rFonts w:hint="eastAsia" w:ascii="楷体" w:hAnsi="楷体" w:eastAsia="楷体" w:cs="楷体"/>
                <w:color w:val="auto"/>
                <w:kern w:val="0"/>
                <w:sz w:val="20"/>
                <w:szCs w:val="20"/>
              </w:rPr>
              <w:t>（七）总计</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default"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default" w:eastAsiaTheme="minorEastAsia"/>
                <w:color w:val="auto"/>
                <w:lang w:val="en-US" w:eastAsia="zh-CN"/>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758" w:type="dxa"/>
            <w:gridSpan w:val="3"/>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left"/>
              <w:textAlignment w:val="auto"/>
              <w:rPr>
                <w:color w:val="auto"/>
              </w:rPr>
            </w:pPr>
            <w:r>
              <w:rPr>
                <w:rFonts w:hint="eastAsia" w:ascii="宋体" w:hAnsi="宋体" w:eastAsia="宋体" w:cs="宋体"/>
                <w:color w:val="auto"/>
                <w:kern w:val="0"/>
                <w:sz w:val="20"/>
                <w:szCs w:val="20"/>
              </w:rPr>
              <w:t>四、结转下年度继续办理</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default" w:eastAsia="宋体"/>
                <w:color w:val="auto"/>
                <w:lang w:val="en-US" w:eastAsia="zh-CN"/>
              </w:rPr>
            </w:pPr>
            <w:r>
              <w:rPr>
                <w:rFonts w:hint="eastAsia" w:eastAsia="宋体"/>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c>
          <w:tcPr>
            <w:tcW w:w="679" w:type="dxa"/>
            <w:tcMar>
              <w:left w:w="108" w:type="dxa"/>
              <w:right w:w="108" w:type="dxa"/>
            </w:tcMar>
            <w:vAlign w:val="center"/>
          </w:tcPr>
          <w:p>
            <w:pPr>
              <w:keepNext w:val="0"/>
              <w:keepLines w:val="0"/>
              <w:pageBreakBefore w:val="0"/>
              <w:kinsoku/>
              <w:wordWrap/>
              <w:overflowPunct/>
              <w:topLinePunct w:val="0"/>
              <w:autoSpaceDE/>
              <w:autoSpaceDN/>
              <w:bidi w:val="0"/>
              <w:adjustRightInd/>
              <w:snapToGrid/>
              <w:jc w:val="center"/>
              <w:textAlignment w:val="auto"/>
              <w:rPr>
                <w:rFonts w:hint="default" w:ascii="宋体" w:eastAsia="宋体"/>
                <w:color w:val="auto"/>
                <w:sz w:val="24"/>
                <w:szCs w:val="24"/>
                <w:lang w:val="en-US" w:eastAsia="zh-CN"/>
              </w:rPr>
            </w:pPr>
            <w:r>
              <w:rPr>
                <w:rFonts w:hint="eastAsia" w:ascii="宋体" w:eastAsia="宋体"/>
                <w:color w:val="auto"/>
                <w:sz w:val="24"/>
                <w:szCs w:val="24"/>
                <w:lang w:val="en-US" w:eastAsia="zh-CN"/>
              </w:rPr>
              <w:t>0</w:t>
            </w:r>
          </w:p>
        </w:tc>
      </w:tr>
    </w:tbl>
    <w:p>
      <w:pPr>
        <w:pStyle w:val="5"/>
        <w:keepNext w:val="0"/>
        <w:keepLines w:val="0"/>
        <w:pageBreakBefore w:val="0"/>
        <w:widowControl/>
        <w:numPr>
          <w:ilvl w:val="0"/>
          <w:numId w:val="0"/>
        </w:numPr>
        <w:kinsoku/>
        <w:wordWrap/>
        <w:overflowPunct/>
        <w:topLinePunct w:val="0"/>
        <w:autoSpaceDE/>
        <w:autoSpaceDN/>
        <w:bidi w:val="0"/>
        <w:adjustRightInd/>
        <w:snapToGrid/>
        <w:spacing w:line="620" w:lineRule="exact"/>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四、政府信息公开行政复议、行政诉讼情况</w:t>
      </w:r>
    </w:p>
    <w:tbl>
      <w:tblPr>
        <w:tblStyle w:val="6"/>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color w:val="auto"/>
              </w:rPr>
            </w:pPr>
            <w:r>
              <w:rPr>
                <w:rFonts w:hint="eastAsia" w:ascii="宋体" w:hAnsi="宋体" w:eastAsia="宋体" w:cs="宋体"/>
                <w:color w:val="auto"/>
                <w:kern w:val="0"/>
                <w:sz w:val="20"/>
                <w:szCs w:val="20"/>
              </w:rPr>
              <w:t>行政复议</w:t>
            </w:r>
          </w:p>
        </w:tc>
        <w:tc>
          <w:tcPr>
            <w:tcW w:w="5997" w:type="dxa"/>
            <w:gridSpan w:val="10"/>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color w:val="auto"/>
              </w:rPr>
            </w:pPr>
            <w:r>
              <w:rPr>
                <w:rFonts w:hint="eastAsia" w:ascii="宋体" w:hAnsi="宋体" w:eastAsia="宋体" w:cs="宋体"/>
                <w:color w:val="auto"/>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40" w:lineRule="auto"/>
              <w:jc w:val="center"/>
              <w:textAlignment w:val="auto"/>
              <w:rPr>
                <w:color w:val="auto"/>
              </w:rPr>
            </w:pPr>
            <w:r>
              <w:rPr>
                <w:rFonts w:hint="eastAsia" w:ascii="宋体" w:hAnsi="宋体" w:eastAsia="宋体" w:cs="宋体"/>
                <w:color w:val="auto"/>
                <w:kern w:val="0"/>
                <w:sz w:val="20"/>
                <w:szCs w:val="20"/>
              </w:rPr>
              <w:t>结果维持</w:t>
            </w:r>
          </w:p>
        </w:tc>
        <w:tc>
          <w:tcPr>
            <w:tcW w:w="604" w:type="dxa"/>
            <w:vMerge w:val="restart"/>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40" w:lineRule="auto"/>
              <w:jc w:val="center"/>
              <w:textAlignment w:val="auto"/>
              <w:rPr>
                <w:color w:val="auto"/>
              </w:rPr>
            </w:pPr>
            <w:r>
              <w:rPr>
                <w:rFonts w:hint="eastAsia" w:ascii="宋体" w:hAnsi="宋体" w:eastAsia="宋体" w:cs="宋体"/>
                <w:color w:val="auto"/>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40" w:lineRule="auto"/>
              <w:jc w:val="center"/>
              <w:textAlignment w:val="auto"/>
              <w:rPr>
                <w:color w:val="auto"/>
              </w:rPr>
            </w:pPr>
            <w:r>
              <w:rPr>
                <w:rFonts w:hint="eastAsia" w:ascii="宋体" w:hAnsi="宋体" w:eastAsia="宋体" w:cs="宋体"/>
                <w:color w:val="auto"/>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40" w:lineRule="auto"/>
              <w:jc w:val="center"/>
              <w:textAlignment w:val="auto"/>
              <w:rPr>
                <w:color w:val="auto"/>
              </w:rPr>
            </w:pPr>
            <w:r>
              <w:rPr>
                <w:rFonts w:hint="eastAsia" w:ascii="宋体" w:hAnsi="宋体" w:eastAsia="宋体" w:cs="宋体"/>
                <w:color w:val="auto"/>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40" w:lineRule="auto"/>
              <w:jc w:val="center"/>
              <w:textAlignment w:val="auto"/>
              <w:rPr>
                <w:color w:val="auto"/>
              </w:rPr>
            </w:pPr>
            <w:r>
              <w:rPr>
                <w:rFonts w:hint="eastAsia" w:ascii="宋体" w:hAnsi="宋体" w:eastAsia="宋体" w:cs="宋体"/>
                <w:color w:val="auto"/>
                <w:kern w:val="0"/>
                <w:sz w:val="20"/>
                <w:szCs w:val="20"/>
              </w:rPr>
              <w:t>总计</w:t>
            </w:r>
          </w:p>
        </w:tc>
        <w:tc>
          <w:tcPr>
            <w:tcW w:w="2970" w:type="dxa"/>
            <w:gridSpan w:val="5"/>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40" w:lineRule="auto"/>
              <w:jc w:val="center"/>
              <w:textAlignment w:val="auto"/>
              <w:rPr>
                <w:color w:val="auto"/>
              </w:rPr>
            </w:pPr>
            <w:r>
              <w:rPr>
                <w:rFonts w:hint="eastAsia" w:ascii="宋体" w:hAnsi="宋体" w:eastAsia="宋体" w:cs="宋体"/>
                <w:color w:val="auto"/>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40" w:lineRule="auto"/>
              <w:jc w:val="center"/>
              <w:textAlignment w:val="auto"/>
              <w:rPr>
                <w:color w:val="auto"/>
              </w:rPr>
            </w:pPr>
            <w:r>
              <w:rPr>
                <w:rFonts w:hint="eastAsia" w:ascii="宋体" w:hAnsi="宋体" w:eastAsia="宋体" w:cs="宋体"/>
                <w:color w:val="auto"/>
                <w:kern w:val="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ascii="宋体"/>
                <w:color w:val="auto"/>
                <w:sz w:val="24"/>
                <w:szCs w:val="24"/>
              </w:rPr>
            </w:pPr>
          </w:p>
        </w:tc>
        <w:tc>
          <w:tcPr>
            <w:tcW w:w="604" w:type="dxa"/>
            <w:vMerge w:val="continue"/>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ascii="宋体"/>
                <w:color w:val="auto"/>
                <w:sz w:val="24"/>
                <w:szCs w:val="24"/>
              </w:rPr>
            </w:pPr>
          </w:p>
        </w:tc>
        <w:tc>
          <w:tcPr>
            <w:tcW w:w="604"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ascii="宋体"/>
                <w:color w:val="auto"/>
                <w:sz w:val="24"/>
                <w:szCs w:val="24"/>
              </w:rPr>
            </w:pPr>
          </w:p>
        </w:tc>
        <w:tc>
          <w:tcPr>
            <w:tcW w:w="604"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ascii="宋体"/>
                <w:color w:val="auto"/>
                <w:sz w:val="24"/>
                <w:szCs w:val="24"/>
              </w:rPr>
            </w:pPr>
          </w:p>
        </w:tc>
        <w:tc>
          <w:tcPr>
            <w:tcW w:w="658"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ascii="宋体"/>
                <w:color w:val="auto"/>
                <w:sz w:val="24"/>
                <w:szCs w:val="24"/>
              </w:rPr>
            </w:pPr>
          </w:p>
        </w:tc>
        <w:tc>
          <w:tcPr>
            <w:tcW w:w="550"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40" w:lineRule="auto"/>
              <w:jc w:val="center"/>
              <w:textAlignment w:val="auto"/>
              <w:rPr>
                <w:color w:val="auto"/>
              </w:rPr>
            </w:pPr>
            <w:r>
              <w:rPr>
                <w:rFonts w:hint="eastAsia" w:ascii="宋体" w:hAnsi="宋体" w:eastAsia="宋体" w:cs="宋体"/>
                <w:color w:val="auto"/>
                <w:kern w:val="0"/>
                <w:sz w:val="20"/>
                <w:szCs w:val="20"/>
              </w:rPr>
              <w:t>结果维持</w:t>
            </w:r>
          </w:p>
        </w:tc>
        <w:tc>
          <w:tcPr>
            <w:tcW w:w="60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40" w:lineRule="auto"/>
              <w:jc w:val="center"/>
              <w:textAlignment w:val="auto"/>
              <w:rPr>
                <w:color w:val="auto"/>
              </w:rPr>
            </w:pPr>
            <w:r>
              <w:rPr>
                <w:rFonts w:hint="eastAsia" w:ascii="宋体" w:hAnsi="宋体" w:eastAsia="宋体" w:cs="宋体"/>
                <w:color w:val="auto"/>
                <w:kern w:val="0"/>
                <w:sz w:val="20"/>
                <w:szCs w:val="20"/>
              </w:rPr>
              <w:t>结果纠正</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40" w:lineRule="auto"/>
              <w:jc w:val="center"/>
              <w:textAlignment w:val="auto"/>
              <w:rPr>
                <w:color w:val="auto"/>
              </w:rPr>
            </w:pPr>
            <w:r>
              <w:rPr>
                <w:rFonts w:hint="eastAsia" w:ascii="宋体" w:hAnsi="宋体" w:eastAsia="宋体" w:cs="宋体"/>
                <w:color w:val="auto"/>
                <w:kern w:val="0"/>
                <w:sz w:val="20"/>
                <w:szCs w:val="20"/>
              </w:rPr>
              <w:t>其他结果</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40" w:lineRule="auto"/>
              <w:jc w:val="center"/>
              <w:textAlignment w:val="auto"/>
              <w:rPr>
                <w:color w:val="auto"/>
              </w:rPr>
            </w:pPr>
            <w:r>
              <w:rPr>
                <w:rFonts w:hint="eastAsia" w:ascii="宋体" w:hAnsi="宋体" w:eastAsia="宋体" w:cs="宋体"/>
                <w:color w:val="auto"/>
                <w:kern w:val="0"/>
                <w:sz w:val="20"/>
                <w:szCs w:val="20"/>
              </w:rPr>
              <w:t>尚未审结</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40" w:lineRule="auto"/>
              <w:jc w:val="center"/>
              <w:textAlignment w:val="auto"/>
              <w:rPr>
                <w:color w:val="auto"/>
              </w:rPr>
            </w:pPr>
            <w:r>
              <w:rPr>
                <w:rFonts w:hint="eastAsia" w:ascii="宋体" w:hAnsi="宋体" w:eastAsia="宋体" w:cs="宋体"/>
                <w:color w:val="auto"/>
                <w:kern w:val="0"/>
                <w:sz w:val="20"/>
                <w:szCs w:val="20"/>
              </w:rPr>
              <w:t>总计</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40" w:lineRule="auto"/>
              <w:jc w:val="center"/>
              <w:textAlignment w:val="auto"/>
              <w:rPr>
                <w:color w:val="auto"/>
              </w:rPr>
            </w:pPr>
            <w:r>
              <w:rPr>
                <w:rFonts w:hint="eastAsia" w:ascii="宋体" w:hAnsi="宋体" w:eastAsia="宋体" w:cs="宋体"/>
                <w:color w:val="auto"/>
                <w:kern w:val="0"/>
                <w:sz w:val="20"/>
                <w:szCs w:val="20"/>
              </w:rPr>
              <w:t>结果维持</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40" w:lineRule="auto"/>
              <w:jc w:val="center"/>
              <w:textAlignment w:val="auto"/>
              <w:rPr>
                <w:color w:val="auto"/>
              </w:rPr>
            </w:pPr>
            <w:r>
              <w:rPr>
                <w:rFonts w:hint="eastAsia" w:ascii="宋体" w:hAnsi="宋体" w:eastAsia="宋体" w:cs="宋体"/>
                <w:color w:val="auto"/>
                <w:kern w:val="0"/>
                <w:sz w:val="20"/>
                <w:szCs w:val="20"/>
              </w:rPr>
              <w:t>结果纠正</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40" w:lineRule="auto"/>
              <w:jc w:val="center"/>
              <w:textAlignment w:val="auto"/>
              <w:rPr>
                <w:color w:val="auto"/>
              </w:rPr>
            </w:pPr>
            <w:r>
              <w:rPr>
                <w:rFonts w:hint="eastAsia" w:ascii="宋体" w:hAnsi="宋体" w:eastAsia="宋体" w:cs="宋体"/>
                <w:color w:val="auto"/>
                <w:kern w:val="0"/>
                <w:sz w:val="20"/>
                <w:szCs w:val="20"/>
              </w:rPr>
              <w:t>其他结果</w:t>
            </w:r>
          </w:p>
        </w:tc>
        <w:tc>
          <w:tcPr>
            <w:tcW w:w="606"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40" w:lineRule="auto"/>
              <w:jc w:val="center"/>
              <w:textAlignment w:val="auto"/>
              <w:rPr>
                <w:color w:val="auto"/>
              </w:rPr>
            </w:pPr>
            <w:r>
              <w:rPr>
                <w:rFonts w:hint="eastAsia" w:ascii="宋体" w:hAnsi="宋体" w:eastAsia="宋体" w:cs="宋体"/>
                <w:color w:val="auto"/>
                <w:kern w:val="0"/>
                <w:sz w:val="20"/>
                <w:szCs w:val="20"/>
              </w:rPr>
              <w:t>尚未审结</w:t>
            </w:r>
          </w:p>
        </w:tc>
        <w:tc>
          <w:tcPr>
            <w:tcW w:w="606"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40" w:lineRule="auto"/>
              <w:jc w:val="center"/>
              <w:textAlignment w:val="auto"/>
              <w:rPr>
                <w:rFonts w:hint="eastAsia" w:eastAsia="宋体"/>
                <w:color w:val="auto"/>
                <w:lang w:val="en-US" w:eastAsia="zh-CN"/>
              </w:rPr>
            </w:pPr>
            <w:r>
              <w:rPr>
                <w:rFonts w:hint="eastAsia" w:ascii="宋体" w:hAnsi="宋体" w:eastAsia="宋体" w:cs="宋体"/>
                <w:color w:val="auto"/>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c>
          <w:tcPr>
            <w:tcW w:w="60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c>
          <w:tcPr>
            <w:tcW w:w="60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c>
          <w:tcPr>
            <w:tcW w:w="60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c>
          <w:tcPr>
            <w:tcW w:w="658"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c>
          <w:tcPr>
            <w:tcW w:w="550"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color w:val="auto"/>
                <w:lang w:val="en-US" w:eastAsia="zh-CN"/>
              </w:rPr>
            </w:pPr>
            <w:r>
              <w:rPr>
                <w:rFonts w:hint="eastAsia"/>
                <w:color w:val="auto"/>
                <w:lang w:val="en-US" w:eastAsia="zh-CN"/>
              </w:rPr>
              <w:t>0</w:t>
            </w:r>
          </w:p>
        </w:tc>
        <w:tc>
          <w:tcPr>
            <w:tcW w:w="60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default" w:eastAsia="宋体"/>
                <w:color w:val="auto"/>
                <w:lang w:val="en-US" w:eastAsia="zh-CN"/>
              </w:rPr>
            </w:pPr>
            <w:r>
              <w:rPr>
                <w:rFonts w:hint="eastAsia" w:eastAsia="宋体"/>
                <w:color w:val="auto"/>
                <w:lang w:val="en-US" w:eastAsia="zh-CN"/>
              </w:rPr>
              <w:t>0</w:t>
            </w:r>
          </w:p>
        </w:tc>
        <w:tc>
          <w:tcPr>
            <w:tcW w:w="60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jc w:val="center"/>
              <w:textAlignment w:val="auto"/>
              <w:rPr>
                <w:rFonts w:hint="default" w:ascii="宋体" w:eastAsia="宋体"/>
                <w:color w:val="auto"/>
                <w:sz w:val="24"/>
                <w:szCs w:val="24"/>
                <w:lang w:val="en-US" w:eastAsia="zh-CN"/>
              </w:rPr>
            </w:pPr>
            <w:r>
              <w:rPr>
                <w:rFonts w:hint="eastAsia" w:ascii="宋体" w:eastAsia="宋体"/>
                <w:color w:val="auto"/>
                <w:sz w:val="24"/>
                <w:szCs w:val="24"/>
                <w:lang w:val="en-US" w:eastAsia="zh-CN"/>
              </w:rPr>
              <w:t>0</w:t>
            </w:r>
          </w:p>
        </w:tc>
      </w:tr>
    </w:tbl>
    <w:p>
      <w:pPr>
        <w:pStyle w:val="5"/>
        <w:keepNext w:val="0"/>
        <w:keepLines w:val="0"/>
        <w:pageBreakBefore w:val="0"/>
        <w:widowControl/>
        <w:kinsoku/>
        <w:wordWrap/>
        <w:overflowPunct/>
        <w:topLinePunct w:val="0"/>
        <w:autoSpaceDE/>
        <w:autoSpaceDN/>
        <w:bidi w:val="0"/>
        <w:adjustRightInd/>
        <w:snapToGrid/>
        <w:spacing w:line="620" w:lineRule="exact"/>
        <w:ind w:firstLine="640" w:firstLineChars="200"/>
        <w:jc w:val="both"/>
        <w:textAlignment w:val="auto"/>
        <w:rPr>
          <w:rFonts w:ascii="黑体" w:hAnsi="黑体" w:eastAsia="黑体" w:cs="黑体"/>
          <w:color w:val="auto"/>
          <w:sz w:val="32"/>
          <w:szCs w:val="32"/>
        </w:rPr>
      </w:pPr>
      <w:r>
        <w:rPr>
          <w:rFonts w:hint="eastAsia" w:ascii="黑体" w:hAnsi="黑体" w:eastAsia="黑体" w:cs="黑体"/>
          <w:color w:val="auto"/>
          <w:sz w:val="32"/>
          <w:szCs w:val="32"/>
          <w:lang w:eastAsia="zh-CN"/>
        </w:rPr>
        <w:t>五</w:t>
      </w:r>
      <w:r>
        <w:rPr>
          <w:rFonts w:hint="eastAsia" w:ascii="黑体" w:hAnsi="黑体" w:eastAsia="黑体" w:cs="黑体"/>
          <w:color w:val="auto"/>
          <w:sz w:val="32"/>
          <w:szCs w:val="32"/>
        </w:rPr>
        <w:t>、存在的主要问题和改进情况</w:t>
      </w:r>
    </w:p>
    <w:p>
      <w:pPr>
        <w:pStyle w:val="5"/>
        <w:keepNext w:val="0"/>
        <w:keepLines w:val="0"/>
        <w:pageBreakBefore w:val="0"/>
        <w:widowControl/>
        <w:numPr>
          <w:ilvl w:val="0"/>
          <w:numId w:val="0"/>
        </w:numPr>
        <w:kinsoku/>
        <w:wordWrap/>
        <w:overflowPunct/>
        <w:topLinePunct w:val="0"/>
        <w:autoSpaceDE/>
        <w:autoSpaceDN/>
        <w:bidi w:val="0"/>
        <w:adjustRightInd/>
        <w:snapToGrid/>
        <w:spacing w:line="620" w:lineRule="exact"/>
        <w:ind w:firstLine="643" w:firstLineChars="200"/>
        <w:jc w:val="both"/>
        <w:textAlignment w:val="auto"/>
        <w:rPr>
          <w:rFonts w:hint="eastAsia" w:ascii="仿宋_GB2312" w:hAnsi="仿宋_GB2312" w:eastAsia="仿宋_GB2312" w:cs="仿宋_GB2312"/>
          <w:b w:val="0"/>
          <w:bCs w:val="0"/>
          <w:color w:val="auto"/>
          <w:sz w:val="32"/>
          <w:szCs w:val="32"/>
        </w:rPr>
      </w:pPr>
      <w:r>
        <w:rPr>
          <w:rFonts w:hint="eastAsia" w:ascii="楷体_GB2312" w:hAnsi="楷体_GB2312" w:eastAsia="楷体_GB2312" w:cs="楷体_GB2312"/>
          <w:b/>
          <w:bCs/>
          <w:color w:val="auto"/>
          <w:sz w:val="32"/>
          <w:szCs w:val="32"/>
          <w:lang w:eastAsia="zh-CN"/>
        </w:rPr>
        <w:t>存在的主要问题：</w:t>
      </w:r>
      <w:r>
        <w:rPr>
          <w:rFonts w:hint="eastAsia" w:ascii="仿宋_GB2312" w:hAnsi="仿宋_GB2312" w:eastAsia="仿宋_GB2312" w:cs="仿宋_GB2312"/>
          <w:b/>
          <w:bCs/>
          <w:color w:val="auto"/>
          <w:sz w:val="32"/>
          <w:szCs w:val="32"/>
          <w:lang w:eastAsia="zh-CN"/>
        </w:rPr>
        <w:t>一是</w:t>
      </w:r>
      <w:r>
        <w:rPr>
          <w:rFonts w:hint="eastAsia" w:ascii="仿宋_GB2312" w:hAnsi="仿宋_GB2312" w:eastAsia="仿宋_GB2312" w:cs="仿宋_GB2312"/>
          <w:color w:val="auto"/>
          <w:sz w:val="32"/>
          <w:szCs w:val="32"/>
        </w:rPr>
        <w:t>工作人员业务能力素质</w:t>
      </w:r>
      <w:r>
        <w:rPr>
          <w:rFonts w:hint="eastAsia" w:ascii="仿宋_GB2312" w:hAnsi="仿宋_GB2312" w:eastAsia="仿宋_GB2312" w:cs="仿宋_GB2312"/>
          <w:color w:val="auto"/>
          <w:sz w:val="32"/>
          <w:szCs w:val="32"/>
          <w:lang w:eastAsia="zh-CN"/>
        </w:rPr>
        <w:t>有待</w:t>
      </w:r>
      <w:r>
        <w:rPr>
          <w:rFonts w:hint="eastAsia" w:ascii="仿宋_GB2312" w:hAnsi="仿宋_GB2312" w:eastAsia="仿宋_GB2312" w:cs="仿宋_GB2312"/>
          <w:color w:val="auto"/>
          <w:sz w:val="32"/>
          <w:szCs w:val="32"/>
        </w:rPr>
        <w:t>进一步</w:t>
      </w:r>
      <w:r>
        <w:rPr>
          <w:rFonts w:hint="eastAsia" w:ascii="仿宋_GB2312" w:hAnsi="仿宋_GB2312" w:eastAsia="仿宋_GB2312" w:cs="仿宋_GB2312"/>
          <w:color w:val="auto"/>
          <w:sz w:val="32"/>
          <w:szCs w:val="32"/>
          <w:lang w:eastAsia="zh-CN"/>
        </w:rPr>
        <w:t>提升</w:t>
      </w:r>
      <w:r>
        <w:rPr>
          <w:rFonts w:hint="eastAsia" w:ascii="仿宋_GB2312" w:hAnsi="仿宋_GB2312" w:eastAsia="仿宋_GB2312" w:cs="仿宋_GB2312"/>
          <w:color w:val="auto"/>
          <w:sz w:val="32"/>
          <w:szCs w:val="32"/>
        </w:rPr>
        <w:t>，队伍专业化水平</w:t>
      </w:r>
      <w:r>
        <w:rPr>
          <w:rFonts w:hint="eastAsia" w:ascii="仿宋_GB2312" w:hAnsi="仿宋_GB2312" w:eastAsia="仿宋_GB2312" w:cs="仿宋_GB2312"/>
          <w:color w:val="auto"/>
          <w:sz w:val="32"/>
          <w:szCs w:val="32"/>
          <w:lang w:eastAsia="zh-CN"/>
        </w:rPr>
        <w:t>还</w:t>
      </w:r>
      <w:r>
        <w:rPr>
          <w:rFonts w:hint="eastAsia" w:ascii="仿宋_GB2312" w:hAnsi="仿宋_GB2312" w:eastAsia="仿宋_GB2312" w:cs="仿宋_GB2312"/>
          <w:color w:val="auto"/>
          <w:sz w:val="32"/>
          <w:szCs w:val="32"/>
        </w:rPr>
        <w:t>需进一步提高；</w:t>
      </w:r>
      <w:r>
        <w:rPr>
          <w:rFonts w:hint="eastAsia" w:ascii="仿宋_GB2312" w:hAnsi="仿宋_GB2312" w:eastAsia="仿宋_GB2312" w:cs="仿宋_GB2312"/>
          <w:b/>
          <w:bCs/>
          <w:color w:val="auto"/>
          <w:sz w:val="32"/>
          <w:szCs w:val="32"/>
          <w:lang w:eastAsia="zh-CN"/>
        </w:rPr>
        <w:t>二是</w:t>
      </w:r>
      <w:r>
        <w:rPr>
          <w:rFonts w:hint="eastAsia" w:ascii="仿宋_GB2312" w:hAnsi="仿宋_GB2312" w:eastAsia="仿宋_GB2312" w:cs="仿宋_GB2312"/>
          <w:b w:val="0"/>
          <w:bCs w:val="0"/>
          <w:color w:val="auto"/>
          <w:kern w:val="2"/>
          <w:sz w:val="32"/>
          <w:szCs w:val="32"/>
          <w:lang w:val="en-US" w:eastAsia="zh-CN" w:bidi="ar-SA"/>
        </w:rPr>
        <w:t>网站页面布局和应用功能还有待进一步优化，内容还需进一步充实；</w:t>
      </w:r>
      <w:r>
        <w:rPr>
          <w:rFonts w:hint="eastAsia" w:ascii="仿宋_GB2312" w:hAnsi="仿宋_GB2312" w:eastAsia="仿宋_GB2312" w:cs="仿宋_GB2312"/>
          <w:b/>
          <w:bCs/>
          <w:color w:val="auto"/>
          <w:kern w:val="2"/>
          <w:sz w:val="32"/>
          <w:szCs w:val="32"/>
          <w:lang w:val="en-US" w:eastAsia="zh-CN" w:bidi="ar-SA"/>
        </w:rPr>
        <w:t>三是</w:t>
      </w:r>
      <w:r>
        <w:rPr>
          <w:rFonts w:hint="eastAsia" w:ascii="仿宋_GB2312" w:hAnsi="仿宋_GB2312" w:eastAsia="仿宋_GB2312" w:cs="仿宋_GB2312"/>
          <w:b w:val="0"/>
          <w:bCs w:val="0"/>
          <w:color w:val="auto"/>
          <w:kern w:val="2"/>
          <w:sz w:val="32"/>
          <w:szCs w:val="32"/>
          <w:lang w:val="en-US" w:eastAsia="zh-CN" w:bidi="ar-SA"/>
        </w:rPr>
        <w:t>政府信息公开政策文件解读质量和水平还有待进一步提高</w:t>
      </w:r>
      <w:r>
        <w:rPr>
          <w:rFonts w:hint="eastAsia" w:ascii="仿宋_GB2312" w:hAnsi="仿宋_GB2312" w:eastAsia="仿宋_GB2312" w:cs="仿宋_GB2312"/>
          <w:color w:val="auto"/>
          <w:sz w:val="32"/>
          <w:szCs w:val="32"/>
        </w:rPr>
        <w:t>。</w:t>
      </w:r>
    </w:p>
    <w:p>
      <w:pPr>
        <w:pStyle w:val="5"/>
        <w:keepNext w:val="0"/>
        <w:keepLines w:val="0"/>
        <w:pageBreakBefore w:val="0"/>
        <w:widowControl/>
        <w:numPr>
          <w:ilvl w:val="0"/>
          <w:numId w:val="0"/>
        </w:numPr>
        <w:kinsoku/>
        <w:wordWrap/>
        <w:overflowPunct/>
        <w:topLinePunct w:val="0"/>
        <w:autoSpaceDE/>
        <w:autoSpaceDN/>
        <w:bidi w:val="0"/>
        <w:adjustRightInd/>
        <w:snapToGrid/>
        <w:spacing w:line="620" w:lineRule="exact"/>
        <w:ind w:firstLine="643" w:firstLineChars="200"/>
        <w:jc w:val="both"/>
        <w:textAlignment w:val="auto"/>
        <w:rPr>
          <w:rFonts w:hint="eastAsia" w:ascii="仿宋_GB2312" w:hAnsi="仿宋_GB2312" w:eastAsia="仿宋_GB2312" w:cs="仿宋_GB2312"/>
          <w:b w:val="0"/>
          <w:bCs w:val="0"/>
          <w:color w:val="auto"/>
          <w:sz w:val="32"/>
          <w:szCs w:val="32"/>
          <w:lang w:eastAsia="zh-CN"/>
        </w:rPr>
      </w:pPr>
      <w:r>
        <w:rPr>
          <w:rFonts w:hint="eastAsia" w:ascii="楷体_GB2312" w:hAnsi="楷体_GB2312" w:eastAsia="楷体_GB2312" w:cs="楷体_GB2312"/>
          <w:b/>
          <w:bCs/>
          <w:color w:val="auto"/>
          <w:sz w:val="32"/>
          <w:szCs w:val="32"/>
          <w:lang w:eastAsia="zh-CN"/>
        </w:rPr>
        <w:t>改进措施：</w:t>
      </w:r>
      <w:r>
        <w:rPr>
          <w:rFonts w:hint="eastAsia" w:ascii="仿宋_GB2312" w:hAnsi="仿宋_GB2312" w:eastAsia="仿宋_GB2312" w:cs="仿宋_GB2312"/>
          <w:b/>
          <w:bCs/>
          <w:color w:val="auto"/>
          <w:sz w:val="32"/>
          <w:szCs w:val="32"/>
        </w:rPr>
        <w:t>一是</w:t>
      </w:r>
      <w:r>
        <w:rPr>
          <w:rFonts w:hint="eastAsia" w:ascii="仿宋_GB2312" w:hAnsi="仿宋_GB2312" w:eastAsia="仿宋_GB2312" w:cs="仿宋_GB2312"/>
          <w:b/>
          <w:bCs/>
          <w:color w:val="auto"/>
          <w:sz w:val="32"/>
          <w:szCs w:val="32"/>
          <w:lang w:eastAsia="zh-CN"/>
        </w:rPr>
        <w:t>强化</w:t>
      </w:r>
      <w:r>
        <w:rPr>
          <w:rFonts w:hint="eastAsia" w:ascii="仿宋_GB2312" w:hAnsi="仿宋_GB2312" w:eastAsia="仿宋_GB2312" w:cs="仿宋_GB2312"/>
          <w:b/>
          <w:bCs/>
          <w:color w:val="auto"/>
          <w:sz w:val="32"/>
          <w:szCs w:val="32"/>
        </w:rPr>
        <w:t>业务培训。</w:t>
      </w:r>
      <w:r>
        <w:rPr>
          <w:rFonts w:hint="eastAsia" w:ascii="仿宋_GB2312" w:hAnsi="仿宋_GB2312" w:eastAsia="仿宋_GB2312" w:cs="仿宋_GB2312"/>
          <w:color w:val="auto"/>
          <w:sz w:val="32"/>
          <w:szCs w:val="32"/>
        </w:rPr>
        <w:t>结合工作实际，</w:t>
      </w:r>
      <w:r>
        <w:rPr>
          <w:rFonts w:hint="eastAsia" w:ascii="仿宋_GB2312" w:hAnsi="仿宋_GB2312" w:eastAsia="仿宋_GB2312" w:cs="仿宋_GB2312"/>
          <w:color w:val="auto"/>
          <w:sz w:val="32"/>
          <w:szCs w:val="32"/>
          <w:lang w:eastAsia="zh-CN"/>
        </w:rPr>
        <w:t>适时</w:t>
      </w:r>
      <w:r>
        <w:rPr>
          <w:rFonts w:hint="eastAsia" w:ascii="仿宋_GB2312" w:hAnsi="仿宋_GB2312" w:eastAsia="仿宋_GB2312" w:cs="仿宋_GB2312"/>
          <w:color w:val="auto"/>
          <w:sz w:val="32"/>
          <w:szCs w:val="32"/>
        </w:rPr>
        <w:t>召开</w:t>
      </w:r>
      <w:r>
        <w:rPr>
          <w:rFonts w:hint="eastAsia" w:ascii="仿宋_GB2312" w:hAnsi="仿宋_GB2312" w:eastAsia="仿宋_GB2312" w:cs="仿宋_GB2312"/>
          <w:color w:val="auto"/>
          <w:sz w:val="32"/>
          <w:szCs w:val="32"/>
          <w:lang w:eastAsia="zh-CN"/>
        </w:rPr>
        <w:t>全县</w:t>
      </w:r>
      <w:r>
        <w:rPr>
          <w:rFonts w:hint="eastAsia" w:ascii="仿宋_GB2312" w:hAnsi="仿宋_GB2312" w:eastAsia="仿宋_GB2312" w:cs="仿宋_GB2312"/>
          <w:color w:val="auto"/>
          <w:sz w:val="32"/>
          <w:szCs w:val="32"/>
        </w:rPr>
        <w:t>政务公开工作推进会暨培训会，及时对各</w:t>
      </w:r>
      <w:r>
        <w:rPr>
          <w:rFonts w:hint="eastAsia" w:ascii="仿宋_GB2312" w:hAnsi="仿宋_GB2312" w:eastAsia="仿宋_GB2312" w:cs="仿宋_GB2312"/>
          <w:color w:val="auto"/>
          <w:sz w:val="32"/>
          <w:szCs w:val="32"/>
          <w:lang w:eastAsia="zh-CN"/>
        </w:rPr>
        <w:t>乡镇、县直各有关部门政务公开工作</w:t>
      </w:r>
      <w:r>
        <w:rPr>
          <w:rFonts w:hint="eastAsia" w:ascii="仿宋_GB2312" w:hAnsi="仿宋_GB2312" w:eastAsia="仿宋_GB2312" w:cs="仿宋_GB2312"/>
          <w:color w:val="auto"/>
          <w:sz w:val="32"/>
          <w:szCs w:val="32"/>
        </w:rPr>
        <w:t>进行业务</w:t>
      </w:r>
      <w:r>
        <w:rPr>
          <w:rFonts w:hint="eastAsia" w:ascii="仿宋_GB2312" w:hAnsi="仿宋_GB2312" w:eastAsia="仿宋_GB2312" w:cs="仿宋_GB2312"/>
          <w:color w:val="auto"/>
          <w:sz w:val="32"/>
          <w:szCs w:val="32"/>
          <w:lang w:eastAsia="zh-CN"/>
        </w:rPr>
        <w:t>指导</w:t>
      </w:r>
      <w:r>
        <w:rPr>
          <w:rFonts w:hint="eastAsia" w:ascii="仿宋_GB2312" w:hAnsi="仿宋_GB2312" w:eastAsia="仿宋_GB2312" w:cs="仿宋_GB2312"/>
          <w:color w:val="auto"/>
          <w:sz w:val="32"/>
          <w:szCs w:val="32"/>
        </w:rPr>
        <w:t>，不断增强各</w:t>
      </w:r>
      <w:r>
        <w:rPr>
          <w:rFonts w:hint="eastAsia" w:ascii="仿宋_GB2312" w:hAnsi="仿宋_GB2312" w:eastAsia="仿宋_GB2312" w:cs="仿宋_GB2312"/>
          <w:color w:val="auto"/>
          <w:sz w:val="32"/>
          <w:szCs w:val="32"/>
          <w:lang w:eastAsia="zh-CN"/>
        </w:rPr>
        <w:t>乡镇、县直各有关部门的政务</w:t>
      </w:r>
      <w:r>
        <w:rPr>
          <w:rFonts w:hint="eastAsia" w:ascii="仿宋_GB2312" w:hAnsi="仿宋_GB2312" w:eastAsia="仿宋_GB2312" w:cs="仿宋_GB2312"/>
          <w:color w:val="auto"/>
          <w:sz w:val="32"/>
          <w:szCs w:val="32"/>
        </w:rPr>
        <w:t>公开意识，提升公开</w:t>
      </w:r>
      <w:r>
        <w:rPr>
          <w:rFonts w:hint="eastAsia" w:ascii="仿宋_GB2312" w:hAnsi="仿宋_GB2312" w:eastAsia="仿宋_GB2312" w:cs="仿宋_GB2312"/>
          <w:color w:val="auto"/>
          <w:sz w:val="32"/>
          <w:szCs w:val="32"/>
          <w:lang w:eastAsia="zh-CN"/>
        </w:rPr>
        <w:t>能力</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b/>
          <w:bCs/>
          <w:color w:val="auto"/>
          <w:sz w:val="32"/>
          <w:szCs w:val="32"/>
        </w:rPr>
        <w:t>二是</w:t>
      </w:r>
      <w:r>
        <w:rPr>
          <w:rFonts w:hint="eastAsia" w:ascii="仿宋_GB2312" w:hAnsi="仿宋_GB2312" w:eastAsia="仿宋_GB2312" w:cs="仿宋_GB2312"/>
          <w:b/>
          <w:bCs/>
          <w:color w:val="auto"/>
          <w:sz w:val="32"/>
          <w:szCs w:val="32"/>
          <w:lang w:eastAsia="zh-CN"/>
        </w:rPr>
        <w:t>扩大公开范围。</w:t>
      </w:r>
      <w:r>
        <w:rPr>
          <w:rFonts w:hint="eastAsia" w:ascii="仿宋_GB2312" w:hAnsi="仿宋_GB2312" w:eastAsia="仿宋_GB2312" w:cs="仿宋_GB2312"/>
          <w:b w:val="0"/>
          <w:bCs w:val="0"/>
          <w:color w:val="auto"/>
          <w:sz w:val="32"/>
          <w:szCs w:val="32"/>
        </w:rPr>
        <w:t>坚持“应公开尽公开”原则</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以公开为常态、不公开为例外，</w:t>
      </w:r>
      <w:r>
        <w:rPr>
          <w:rFonts w:hint="eastAsia" w:ascii="仿宋_GB2312" w:hAnsi="仿宋_GB2312" w:eastAsia="仿宋_GB2312" w:cs="仿宋_GB2312"/>
          <w:b w:val="0"/>
          <w:bCs w:val="0"/>
          <w:color w:val="auto"/>
          <w:sz w:val="32"/>
          <w:szCs w:val="32"/>
          <w:lang w:eastAsia="zh-CN"/>
        </w:rPr>
        <w:t>对涉及群众切身利益、需要公众广泛知晓的政策文件及时进行公开。用好用足政务公开专区，打通政务公开服务群众的“最后一公里”,进一步提升便民服务能力和群众政务体验获得感。</w:t>
      </w:r>
      <w:r>
        <w:rPr>
          <w:rFonts w:hint="eastAsia" w:ascii="仿宋_GB2312" w:hAnsi="仿宋_GB2312" w:eastAsia="仿宋_GB2312" w:cs="仿宋_GB2312"/>
          <w:b/>
          <w:bCs/>
          <w:color w:val="auto"/>
          <w:sz w:val="32"/>
          <w:szCs w:val="32"/>
          <w:lang w:eastAsia="zh-CN"/>
        </w:rPr>
        <w:t>三是提升工作质量。</w:t>
      </w:r>
      <w:r>
        <w:rPr>
          <w:rFonts w:hint="eastAsia" w:ascii="仿宋_GB2312" w:hAnsi="仿宋_GB2312" w:eastAsia="仿宋_GB2312" w:cs="仿宋_GB2312"/>
          <w:b w:val="0"/>
          <w:bCs w:val="0"/>
          <w:color w:val="auto"/>
          <w:sz w:val="32"/>
          <w:szCs w:val="32"/>
        </w:rPr>
        <w:t>坚持需求导向，</w:t>
      </w:r>
      <w:r>
        <w:rPr>
          <w:rFonts w:hint="eastAsia" w:ascii="仿宋_GB2312" w:hAnsi="仿宋_GB2312" w:eastAsia="仿宋_GB2312" w:cs="仿宋_GB2312"/>
          <w:b w:val="0"/>
          <w:bCs w:val="0"/>
          <w:color w:val="auto"/>
          <w:sz w:val="32"/>
          <w:szCs w:val="32"/>
          <w:lang w:eastAsia="zh-CN"/>
        </w:rPr>
        <w:t>认真</w:t>
      </w:r>
      <w:r>
        <w:rPr>
          <w:rFonts w:hint="eastAsia" w:ascii="仿宋_GB2312" w:hAnsi="仿宋_GB2312" w:eastAsia="仿宋_GB2312" w:cs="仿宋_GB2312"/>
          <w:b w:val="0"/>
          <w:bCs w:val="0"/>
          <w:color w:val="auto"/>
          <w:sz w:val="32"/>
          <w:szCs w:val="32"/>
        </w:rPr>
        <w:t>分析、研判社会公众的政务公开需求，及时发布法定主动公开内容，切实增强政务公开的针对性、实效性。</w:t>
      </w:r>
      <w:r>
        <w:rPr>
          <w:rFonts w:hint="eastAsia" w:ascii="仿宋_GB2312" w:hAnsi="仿宋_GB2312" w:eastAsia="仿宋_GB2312" w:cs="仿宋_GB2312"/>
          <w:b w:val="0"/>
          <w:bCs w:val="0"/>
          <w:color w:val="auto"/>
          <w:sz w:val="32"/>
          <w:szCs w:val="32"/>
          <w:lang w:eastAsia="zh-CN"/>
        </w:rPr>
        <w:t>积极探索政策解读新方法、新形式，</w:t>
      </w:r>
      <w:r>
        <w:rPr>
          <w:rFonts w:hint="eastAsia" w:ascii="仿宋_GB2312" w:hAnsi="仿宋_GB2312" w:eastAsia="仿宋_GB2312" w:cs="仿宋_GB2312"/>
          <w:b w:val="0"/>
          <w:bCs w:val="0"/>
          <w:color w:val="auto"/>
          <w:sz w:val="32"/>
          <w:szCs w:val="32"/>
        </w:rPr>
        <w:t>以群众喜闻乐见的形式及时公开政策类文件解读信息，方便群众了解重要政策，</w:t>
      </w:r>
      <w:r>
        <w:rPr>
          <w:rFonts w:hint="eastAsia" w:ascii="仿宋_GB2312" w:hAnsi="仿宋_GB2312" w:eastAsia="仿宋_GB2312" w:cs="仿宋_GB2312"/>
          <w:b w:val="0"/>
          <w:bCs w:val="0"/>
          <w:color w:val="auto"/>
          <w:sz w:val="32"/>
          <w:szCs w:val="32"/>
          <w:lang w:eastAsia="zh-CN"/>
        </w:rPr>
        <w:t>进一步</w:t>
      </w:r>
      <w:r>
        <w:rPr>
          <w:rFonts w:hint="eastAsia" w:ascii="仿宋_GB2312" w:hAnsi="仿宋_GB2312" w:eastAsia="仿宋_GB2312" w:cs="仿宋_GB2312"/>
          <w:b w:val="0"/>
          <w:bCs w:val="0"/>
          <w:color w:val="auto"/>
          <w:sz w:val="32"/>
          <w:szCs w:val="32"/>
        </w:rPr>
        <w:t>扩大政策的宣传力度和覆盖面。</w:t>
      </w:r>
    </w:p>
    <w:p>
      <w:pPr>
        <w:pStyle w:val="5"/>
        <w:keepNext w:val="0"/>
        <w:keepLines w:val="0"/>
        <w:pageBreakBefore w:val="0"/>
        <w:widowControl/>
        <w:kinsoku/>
        <w:wordWrap/>
        <w:overflowPunct/>
        <w:topLinePunct w:val="0"/>
        <w:autoSpaceDE/>
        <w:autoSpaceDN/>
        <w:bidi w:val="0"/>
        <w:adjustRightInd/>
        <w:snapToGrid/>
        <w:spacing w:line="620" w:lineRule="exact"/>
        <w:ind w:firstLine="640" w:firstLineChars="200"/>
        <w:jc w:val="both"/>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六</w:t>
      </w:r>
      <w:r>
        <w:rPr>
          <w:rFonts w:hint="eastAsia" w:ascii="黑体" w:hAnsi="黑体" w:eastAsia="黑体" w:cs="黑体"/>
          <w:color w:val="auto"/>
          <w:sz w:val="32"/>
          <w:szCs w:val="32"/>
        </w:rPr>
        <w:t>、其他</w:t>
      </w:r>
      <w:r>
        <w:rPr>
          <w:rFonts w:hint="eastAsia" w:ascii="黑体" w:hAnsi="黑体" w:eastAsia="黑体" w:cs="黑体"/>
          <w:color w:val="auto"/>
          <w:sz w:val="32"/>
          <w:szCs w:val="32"/>
          <w:lang w:eastAsia="zh-CN"/>
        </w:rPr>
        <w:t>需要报告的事项</w:t>
      </w:r>
    </w:p>
    <w:p>
      <w:pPr>
        <w:pStyle w:val="5"/>
        <w:keepNext w:val="0"/>
        <w:keepLines w:val="0"/>
        <w:pageBreakBefore w:val="0"/>
        <w:widowControl/>
        <w:kinsoku/>
        <w:wordWrap/>
        <w:overflowPunct/>
        <w:topLinePunct w:val="0"/>
        <w:autoSpaceDE/>
        <w:autoSpaceDN/>
        <w:bidi w:val="0"/>
        <w:adjustRightInd/>
        <w:snapToGrid/>
        <w:spacing w:line="62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无</w:t>
      </w:r>
      <w:r>
        <w:rPr>
          <w:rFonts w:hint="eastAsia" w:ascii="仿宋_GB2312" w:hAnsi="仿宋_GB2312" w:eastAsia="仿宋_GB2312" w:cs="仿宋_GB2312"/>
          <w:color w:val="auto"/>
          <w:sz w:val="32"/>
          <w:szCs w:val="32"/>
          <w:lang w:val="en-US" w:eastAsia="zh-CN"/>
        </w:rPr>
        <w:t xml:space="preserve">                      </w:t>
      </w:r>
    </w:p>
    <w:p>
      <w:pPr>
        <w:pStyle w:val="5"/>
        <w:keepNext w:val="0"/>
        <w:keepLines w:val="0"/>
        <w:pageBreakBefore w:val="0"/>
        <w:widowControl/>
        <w:kinsoku/>
        <w:wordWrap/>
        <w:overflowPunct/>
        <w:topLinePunct w:val="0"/>
        <w:autoSpaceDE/>
        <w:autoSpaceDN/>
        <w:bidi w:val="0"/>
        <w:adjustRightInd/>
        <w:snapToGrid/>
        <w:spacing w:line="620" w:lineRule="exact"/>
        <w:ind w:firstLine="640" w:firstLineChars="200"/>
        <w:jc w:val="right"/>
        <w:textAlignment w:val="auto"/>
        <w:rPr>
          <w:rFonts w:hint="eastAsia" w:ascii="仿宋_GB2312" w:hAnsi="仿宋_GB2312" w:eastAsia="仿宋_GB2312" w:cs="仿宋_GB2312"/>
          <w:color w:val="auto"/>
          <w:sz w:val="32"/>
          <w:szCs w:val="32"/>
          <w:lang w:val="en-US" w:eastAsia="zh-CN"/>
        </w:rPr>
      </w:pPr>
    </w:p>
    <w:p>
      <w:pPr>
        <w:pStyle w:val="5"/>
        <w:keepNext w:val="0"/>
        <w:keepLines w:val="0"/>
        <w:pageBreakBefore w:val="0"/>
        <w:widowControl/>
        <w:kinsoku/>
        <w:wordWrap/>
        <w:overflowPunct/>
        <w:topLinePunct w:val="0"/>
        <w:autoSpaceDE/>
        <w:autoSpaceDN/>
        <w:bidi w:val="0"/>
        <w:adjustRightInd/>
        <w:snapToGrid/>
        <w:spacing w:line="620" w:lineRule="exact"/>
        <w:ind w:firstLine="640" w:firstLineChars="200"/>
        <w:jc w:val="righ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夏县人民政府办公室</w:t>
      </w:r>
    </w:p>
    <w:p>
      <w:pPr>
        <w:pStyle w:val="5"/>
        <w:keepNext w:val="0"/>
        <w:keepLines w:val="0"/>
        <w:pageBreakBefore w:val="0"/>
        <w:widowControl/>
        <w:kinsoku/>
        <w:wordWrap/>
        <w:overflowPunct/>
        <w:topLinePunct w:val="0"/>
        <w:autoSpaceDE/>
        <w:autoSpaceDN/>
        <w:bidi w:val="0"/>
        <w:adjustRightInd/>
        <w:snapToGrid/>
        <w:spacing w:line="620" w:lineRule="exact"/>
        <w:ind w:firstLine="640" w:firstLineChars="200"/>
        <w:jc w:val="right"/>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2022年1月28日</w:t>
      </w:r>
    </w:p>
    <w:sectPr>
      <w:footerReference r:id="rId3" w:type="default"/>
      <w:pgSz w:w="11906" w:h="16838"/>
      <w:pgMar w:top="1871" w:right="1474" w:bottom="1871" w:left="1587" w:header="850" w:footer="1417"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enlo">
    <w:altName w:val="Segoe Print"/>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 xml:space="preserve">— </w:t>
                          </w: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PAGE  \* MERGEFORMAT </w:instrText>
                          </w:r>
                          <w:r>
                            <w:rPr>
                              <w:rFonts w:hint="eastAsia" w:ascii="楷体_GB2312" w:hAnsi="楷体_GB2312" w:eastAsia="楷体_GB2312" w:cs="楷体_GB2312"/>
                              <w:sz w:val="28"/>
                              <w:szCs w:val="28"/>
                            </w:rPr>
                            <w:fldChar w:fldCharType="separate"/>
                          </w:r>
                          <w:r>
                            <w:rPr>
                              <w:rFonts w:hint="eastAsia" w:ascii="楷体_GB2312" w:hAnsi="楷体_GB2312" w:eastAsia="楷体_GB2312" w:cs="楷体_GB2312"/>
                              <w:sz w:val="28"/>
                              <w:szCs w:val="28"/>
                            </w:rPr>
                            <w:t>- 1 -</w:t>
                          </w:r>
                          <w:r>
                            <w:rPr>
                              <w:rFonts w:hint="eastAsia" w:ascii="楷体_GB2312" w:hAnsi="楷体_GB2312" w:eastAsia="楷体_GB2312" w:cs="楷体_GB2312"/>
                              <w:sz w:val="28"/>
                              <w:szCs w:val="28"/>
                            </w:rPr>
                            <w:fldChar w:fldCharType="end"/>
                          </w:r>
                          <w:r>
                            <w:rPr>
                              <w:rFonts w:hint="eastAsia" w:ascii="楷体_GB2312" w:hAnsi="楷体_GB2312" w:eastAsia="楷体_GB2312" w:cs="楷体_GB2312"/>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 xml:space="preserve">— </w:t>
                    </w: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PAGE  \* MERGEFORMAT </w:instrText>
                    </w:r>
                    <w:r>
                      <w:rPr>
                        <w:rFonts w:hint="eastAsia" w:ascii="楷体_GB2312" w:hAnsi="楷体_GB2312" w:eastAsia="楷体_GB2312" w:cs="楷体_GB2312"/>
                        <w:sz w:val="28"/>
                        <w:szCs w:val="28"/>
                      </w:rPr>
                      <w:fldChar w:fldCharType="separate"/>
                    </w:r>
                    <w:r>
                      <w:rPr>
                        <w:rFonts w:hint="eastAsia" w:ascii="楷体_GB2312" w:hAnsi="楷体_GB2312" w:eastAsia="楷体_GB2312" w:cs="楷体_GB2312"/>
                        <w:sz w:val="28"/>
                        <w:szCs w:val="28"/>
                      </w:rPr>
                      <w:t>- 1 -</w:t>
                    </w:r>
                    <w:r>
                      <w:rPr>
                        <w:rFonts w:hint="eastAsia" w:ascii="楷体_GB2312" w:hAnsi="楷体_GB2312" w:eastAsia="楷体_GB2312" w:cs="楷体_GB2312"/>
                        <w:sz w:val="28"/>
                        <w:szCs w:val="28"/>
                      </w:rPr>
                      <w:fldChar w:fldCharType="end"/>
                    </w:r>
                    <w:r>
                      <w:rPr>
                        <w:rFonts w:hint="eastAsia" w:ascii="楷体_GB2312" w:hAnsi="楷体_GB2312" w:eastAsia="楷体_GB2312" w:cs="楷体_GB2312"/>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BC8F63"/>
    <w:multiLevelType w:val="singleLevel"/>
    <w:tmpl w:val="3FBC8F6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yZDcyMzlmMzNhMDRmNjczNGFhNTY5NmQ0NTgyMjUifQ=="/>
  </w:docVars>
  <w:rsids>
    <w:rsidRoot w:val="004A4264"/>
    <w:rsid w:val="00120194"/>
    <w:rsid w:val="00175EB2"/>
    <w:rsid w:val="001F60B5"/>
    <w:rsid w:val="00260039"/>
    <w:rsid w:val="00303DC2"/>
    <w:rsid w:val="00310976"/>
    <w:rsid w:val="0031453F"/>
    <w:rsid w:val="00416479"/>
    <w:rsid w:val="0046268B"/>
    <w:rsid w:val="004A4264"/>
    <w:rsid w:val="004F2B02"/>
    <w:rsid w:val="005F6E28"/>
    <w:rsid w:val="00700488"/>
    <w:rsid w:val="007269ED"/>
    <w:rsid w:val="00882056"/>
    <w:rsid w:val="008F3775"/>
    <w:rsid w:val="008F5194"/>
    <w:rsid w:val="00A42191"/>
    <w:rsid w:val="00AC2092"/>
    <w:rsid w:val="00AF559C"/>
    <w:rsid w:val="00C82861"/>
    <w:rsid w:val="00C87229"/>
    <w:rsid w:val="00CE5A02"/>
    <w:rsid w:val="00E33F2C"/>
    <w:rsid w:val="00FD4657"/>
    <w:rsid w:val="031470D9"/>
    <w:rsid w:val="053973EC"/>
    <w:rsid w:val="05424B1A"/>
    <w:rsid w:val="076F17EB"/>
    <w:rsid w:val="0915113D"/>
    <w:rsid w:val="0A6A0048"/>
    <w:rsid w:val="0B415567"/>
    <w:rsid w:val="0E03035A"/>
    <w:rsid w:val="0FB63537"/>
    <w:rsid w:val="11124550"/>
    <w:rsid w:val="16A14DF1"/>
    <w:rsid w:val="17464331"/>
    <w:rsid w:val="17E0718E"/>
    <w:rsid w:val="18937DB9"/>
    <w:rsid w:val="18A1732B"/>
    <w:rsid w:val="18A62B93"/>
    <w:rsid w:val="18B6072E"/>
    <w:rsid w:val="1AA76464"/>
    <w:rsid w:val="1C275D99"/>
    <w:rsid w:val="1CEB1401"/>
    <w:rsid w:val="1D7A7AA5"/>
    <w:rsid w:val="1E2C21EE"/>
    <w:rsid w:val="1E3F7833"/>
    <w:rsid w:val="1EB91826"/>
    <w:rsid w:val="21E00B86"/>
    <w:rsid w:val="284F1C41"/>
    <w:rsid w:val="2A081A75"/>
    <w:rsid w:val="2B58590F"/>
    <w:rsid w:val="2DA01E4F"/>
    <w:rsid w:val="2FBB4C2D"/>
    <w:rsid w:val="2FC003CB"/>
    <w:rsid w:val="2FEF3EFE"/>
    <w:rsid w:val="301A3B2F"/>
    <w:rsid w:val="314D245F"/>
    <w:rsid w:val="31A0022C"/>
    <w:rsid w:val="330509E3"/>
    <w:rsid w:val="33B96C46"/>
    <w:rsid w:val="346E05B1"/>
    <w:rsid w:val="353900A6"/>
    <w:rsid w:val="354E4827"/>
    <w:rsid w:val="36B5611F"/>
    <w:rsid w:val="37296A11"/>
    <w:rsid w:val="38D442BF"/>
    <w:rsid w:val="39C43841"/>
    <w:rsid w:val="3A6A7A6C"/>
    <w:rsid w:val="3A8405D9"/>
    <w:rsid w:val="3AD60954"/>
    <w:rsid w:val="3B5A188F"/>
    <w:rsid w:val="3C104994"/>
    <w:rsid w:val="3CCA2A44"/>
    <w:rsid w:val="3CCD7A77"/>
    <w:rsid w:val="3E1942A4"/>
    <w:rsid w:val="3E3C4892"/>
    <w:rsid w:val="3F854A01"/>
    <w:rsid w:val="3F895246"/>
    <w:rsid w:val="409141FF"/>
    <w:rsid w:val="41E73796"/>
    <w:rsid w:val="42CC754A"/>
    <w:rsid w:val="43B14016"/>
    <w:rsid w:val="43CC52F4"/>
    <w:rsid w:val="44366C11"/>
    <w:rsid w:val="44B51101"/>
    <w:rsid w:val="45DC79B1"/>
    <w:rsid w:val="46300CD6"/>
    <w:rsid w:val="46886876"/>
    <w:rsid w:val="490D4D64"/>
    <w:rsid w:val="4A2A2D74"/>
    <w:rsid w:val="4A6F293E"/>
    <w:rsid w:val="4AC55E62"/>
    <w:rsid w:val="4B667DDC"/>
    <w:rsid w:val="4BED4E20"/>
    <w:rsid w:val="4BF0650F"/>
    <w:rsid w:val="4D8E7176"/>
    <w:rsid w:val="502361B2"/>
    <w:rsid w:val="524D5852"/>
    <w:rsid w:val="530219FE"/>
    <w:rsid w:val="53F57511"/>
    <w:rsid w:val="53FE250C"/>
    <w:rsid w:val="54890A0B"/>
    <w:rsid w:val="54DB5845"/>
    <w:rsid w:val="57FF5E3A"/>
    <w:rsid w:val="587C6F36"/>
    <w:rsid w:val="58CF4B2C"/>
    <w:rsid w:val="5A3058DD"/>
    <w:rsid w:val="5A356762"/>
    <w:rsid w:val="5B995664"/>
    <w:rsid w:val="5BAB6E28"/>
    <w:rsid w:val="5BB83E17"/>
    <w:rsid w:val="5C6A1F68"/>
    <w:rsid w:val="5CC563DA"/>
    <w:rsid w:val="5DB7478C"/>
    <w:rsid w:val="5EB427B5"/>
    <w:rsid w:val="5F2416E8"/>
    <w:rsid w:val="60AC7BE7"/>
    <w:rsid w:val="64B76C0A"/>
    <w:rsid w:val="64BC4222"/>
    <w:rsid w:val="654354C3"/>
    <w:rsid w:val="66DB3793"/>
    <w:rsid w:val="67D76509"/>
    <w:rsid w:val="683012CE"/>
    <w:rsid w:val="6881195A"/>
    <w:rsid w:val="6A072332"/>
    <w:rsid w:val="6A166E5B"/>
    <w:rsid w:val="6B221F4E"/>
    <w:rsid w:val="6BC13BC9"/>
    <w:rsid w:val="6C082768"/>
    <w:rsid w:val="6C111246"/>
    <w:rsid w:val="6C842E41"/>
    <w:rsid w:val="6D9B648D"/>
    <w:rsid w:val="6E015350"/>
    <w:rsid w:val="6E195FB2"/>
    <w:rsid w:val="6EE844E0"/>
    <w:rsid w:val="6FC2381F"/>
    <w:rsid w:val="703F79B8"/>
    <w:rsid w:val="707B051F"/>
    <w:rsid w:val="70A80C09"/>
    <w:rsid w:val="72002887"/>
    <w:rsid w:val="727605A6"/>
    <w:rsid w:val="72E66F89"/>
    <w:rsid w:val="74086D0D"/>
    <w:rsid w:val="7535244A"/>
    <w:rsid w:val="76421BF8"/>
    <w:rsid w:val="7656294D"/>
    <w:rsid w:val="78A81AE2"/>
    <w:rsid w:val="793C684C"/>
    <w:rsid w:val="79D518FE"/>
    <w:rsid w:val="79F57A08"/>
    <w:rsid w:val="7A6730A5"/>
    <w:rsid w:val="7C324FED"/>
    <w:rsid w:val="7C7E4AD4"/>
    <w:rsid w:val="7CFB13B7"/>
    <w:rsid w:val="7D47435F"/>
    <w:rsid w:val="7E0155BF"/>
    <w:rsid w:val="7E1D1CCD"/>
    <w:rsid w:val="7E653DA8"/>
    <w:rsid w:val="7E6D055E"/>
    <w:rsid w:val="7F9868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unhideWhenUsed/>
    <w:qFormat/>
    <w:uiPriority w:val="0"/>
    <w:pPr>
      <w:keepNext/>
      <w:keepLines/>
      <w:spacing w:before="280" w:after="290" w:line="376" w:lineRule="auto"/>
      <w:outlineLvl w:val="4"/>
    </w:pPr>
    <w:rPr>
      <w:b/>
      <w:bCs/>
      <w:sz w:val="28"/>
      <w:szCs w:val="28"/>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jc w:val="left"/>
    </w:pPr>
    <w:rPr>
      <w:rFonts w:cs="Times New Roman"/>
      <w:kern w:val="0"/>
      <w:sz w:val="24"/>
    </w:rPr>
  </w:style>
  <w:style w:type="character" w:styleId="8">
    <w:name w:val="FollowedHyperlink"/>
    <w:basedOn w:val="7"/>
    <w:qFormat/>
    <w:uiPriority w:val="0"/>
    <w:rPr>
      <w:color w:val="333333"/>
      <w:u w:val="none"/>
    </w:rPr>
  </w:style>
  <w:style w:type="character" w:styleId="9">
    <w:name w:val="Emphasis"/>
    <w:basedOn w:val="7"/>
    <w:qFormat/>
    <w:uiPriority w:val="0"/>
    <w:rPr>
      <w:i/>
    </w:rPr>
  </w:style>
  <w:style w:type="character" w:styleId="10">
    <w:name w:val="HTML Definition"/>
    <w:basedOn w:val="7"/>
    <w:qFormat/>
    <w:uiPriority w:val="0"/>
  </w:style>
  <w:style w:type="character" w:styleId="11">
    <w:name w:val="HTML Acronym"/>
    <w:basedOn w:val="7"/>
    <w:qFormat/>
    <w:uiPriority w:val="0"/>
  </w:style>
  <w:style w:type="character" w:styleId="12">
    <w:name w:val="HTML Variable"/>
    <w:basedOn w:val="7"/>
    <w:qFormat/>
    <w:uiPriority w:val="0"/>
  </w:style>
  <w:style w:type="character" w:styleId="13">
    <w:name w:val="Hyperlink"/>
    <w:basedOn w:val="7"/>
    <w:qFormat/>
    <w:uiPriority w:val="0"/>
    <w:rPr>
      <w:color w:val="333333"/>
      <w:u w:val="none"/>
    </w:rPr>
  </w:style>
  <w:style w:type="character" w:styleId="14">
    <w:name w:val="HTML Code"/>
    <w:basedOn w:val="7"/>
    <w:qFormat/>
    <w:uiPriority w:val="0"/>
    <w:rPr>
      <w:rFonts w:hint="default" w:ascii="Menlo" w:hAnsi="Menlo" w:eastAsia="Menlo" w:cs="Menlo"/>
      <w:color w:val="C7254E"/>
      <w:sz w:val="21"/>
      <w:szCs w:val="21"/>
      <w:shd w:val="clear" w:color="auto" w:fill="F9F2F4"/>
    </w:rPr>
  </w:style>
  <w:style w:type="character" w:styleId="15">
    <w:name w:val="HTML Cite"/>
    <w:basedOn w:val="7"/>
    <w:qFormat/>
    <w:uiPriority w:val="0"/>
  </w:style>
  <w:style w:type="character" w:styleId="16">
    <w:name w:val="HTML Keyboard"/>
    <w:basedOn w:val="7"/>
    <w:qFormat/>
    <w:uiPriority w:val="0"/>
    <w:rPr>
      <w:rFonts w:hint="default" w:ascii="Menlo" w:hAnsi="Menlo" w:eastAsia="Menlo" w:cs="Menlo"/>
      <w:color w:val="FFFFFF"/>
      <w:sz w:val="21"/>
      <w:szCs w:val="21"/>
      <w:shd w:val="clear" w:color="auto" w:fill="333333"/>
    </w:rPr>
  </w:style>
  <w:style w:type="character" w:styleId="17">
    <w:name w:val="HTML Sample"/>
    <w:basedOn w:val="7"/>
    <w:qFormat/>
    <w:uiPriority w:val="0"/>
    <w:rPr>
      <w:rFonts w:ascii="Menlo" w:hAnsi="Menlo" w:eastAsia="Menlo" w:cs="Menlo"/>
    </w:rPr>
  </w:style>
  <w:style w:type="character" w:customStyle="1" w:styleId="18">
    <w:name w:val="badge-sea"/>
    <w:basedOn w:val="7"/>
    <w:qFormat/>
    <w:uiPriority w:val="0"/>
    <w:rPr>
      <w:shd w:val="clear" w:color="auto" w:fill="72C02C"/>
    </w:rPr>
  </w:style>
  <w:style w:type="character" w:customStyle="1" w:styleId="19">
    <w:name w:val="hover"/>
    <w:basedOn w:val="7"/>
    <w:qFormat/>
    <w:uiPriority w:val="0"/>
    <w:rPr>
      <w:b/>
      <w:color w:val="FFFFFF"/>
      <w:shd w:val="clear" w:color="auto" w:fill="298BD4"/>
    </w:rPr>
  </w:style>
  <w:style w:type="character" w:customStyle="1" w:styleId="20">
    <w:name w:val="hover1"/>
    <w:basedOn w:val="7"/>
    <w:qFormat/>
    <w:uiPriority w:val="0"/>
    <w:rPr>
      <w:color w:val="FFFFFF"/>
      <w:u w:val="none"/>
      <w:shd w:val="clear" w:color="auto" w:fill="298BD4"/>
    </w:rPr>
  </w:style>
  <w:style w:type="character" w:customStyle="1" w:styleId="21">
    <w:name w:val="hover2"/>
    <w:basedOn w:val="7"/>
    <w:qFormat/>
    <w:uiPriority w:val="0"/>
    <w:rPr>
      <w:color w:val="FFFFFF"/>
      <w:u w:val="none"/>
      <w:shd w:val="clear" w:color="auto" w:fill="298BD4"/>
    </w:rPr>
  </w:style>
  <w:style w:type="character" w:customStyle="1" w:styleId="22">
    <w:name w:val="hover3"/>
    <w:basedOn w:val="7"/>
    <w:qFormat/>
    <w:uiPriority w:val="0"/>
  </w:style>
  <w:style w:type="character" w:customStyle="1" w:styleId="23">
    <w:name w:val="hover4"/>
    <w:basedOn w:val="7"/>
    <w:qFormat/>
    <w:uiPriority w:val="0"/>
  </w:style>
  <w:style w:type="character" w:customStyle="1" w:styleId="24">
    <w:name w:val="hover5"/>
    <w:basedOn w:val="7"/>
    <w:qFormat/>
    <w:uiPriority w:val="0"/>
  </w:style>
  <w:style w:type="character" w:customStyle="1" w:styleId="25">
    <w:name w:val="hover6"/>
    <w:basedOn w:val="7"/>
    <w:qFormat/>
    <w:uiPriority w:val="0"/>
  </w:style>
  <w:style w:type="character" w:customStyle="1" w:styleId="26">
    <w:name w:val="hover7"/>
    <w:basedOn w:val="7"/>
    <w:qFormat/>
    <w:uiPriority w:val="0"/>
    <w:rPr>
      <w:color w:val="FFFFFF"/>
      <w:u w:val="none"/>
      <w:shd w:val="clear" w:color="auto" w:fill="298BD4"/>
    </w:rPr>
  </w:style>
  <w:style w:type="character" w:customStyle="1" w:styleId="27">
    <w:name w:val="hover26"/>
    <w:basedOn w:val="7"/>
    <w:qFormat/>
    <w:uiPriority w:val="0"/>
  </w:style>
  <w:style w:type="character" w:customStyle="1" w:styleId="28">
    <w:name w:val="badge12"/>
    <w:basedOn w:val="7"/>
    <w:qFormat/>
    <w:uiPriority w:val="0"/>
  </w:style>
  <w:style w:type="character" w:customStyle="1" w:styleId="29">
    <w:name w:val="layui-layer-tabnow"/>
    <w:basedOn w:val="7"/>
    <w:qFormat/>
    <w:uiPriority w:val="0"/>
    <w:rPr>
      <w:bdr w:val="single" w:color="CCCCCC" w:sz="6" w:space="0"/>
      <w:shd w:val="clear" w:color="auto" w:fill="FFFFFF"/>
    </w:rPr>
  </w:style>
  <w:style w:type="character" w:customStyle="1" w:styleId="30">
    <w:name w:val="first-child"/>
    <w:basedOn w:val="7"/>
    <w:qFormat/>
    <w:uiPriority w:val="0"/>
  </w:style>
  <w:style w:type="character" w:customStyle="1" w:styleId="31">
    <w:name w:val="badge"/>
    <w:basedOn w:val="7"/>
    <w:qFormat/>
    <w:uiPriority w:val="0"/>
  </w:style>
  <w:style w:type="character" w:customStyle="1" w:styleId="32">
    <w:name w:val="hover18"/>
    <w:basedOn w:val="7"/>
    <w:qFormat/>
    <w:uiPriority w:val="0"/>
  </w:style>
  <w:style w:type="character" w:customStyle="1" w:styleId="33">
    <w:name w:val="hover19"/>
    <w:basedOn w:val="7"/>
    <w:qFormat/>
    <w:uiPriority w:val="0"/>
  </w:style>
  <w:style w:type="character" w:customStyle="1" w:styleId="34">
    <w:name w:val="hover20"/>
    <w:basedOn w:val="7"/>
    <w:qFormat/>
    <w:uiPriority w:val="0"/>
  </w:style>
  <w:style w:type="character" w:customStyle="1" w:styleId="35">
    <w:name w:val="hover21"/>
    <w:basedOn w:val="7"/>
    <w:qFormat/>
    <w:uiPriority w:val="0"/>
  </w:style>
  <w:style w:type="character" w:customStyle="1" w:styleId="36">
    <w:name w:val="hover22"/>
    <w:basedOn w:val="7"/>
    <w:qFormat/>
    <w:uiPriority w:val="0"/>
    <w:rPr>
      <w:b/>
      <w:color w:val="FFFFFF"/>
      <w:shd w:val="clear" w:color="auto" w:fill="298BD4"/>
    </w:rPr>
  </w:style>
  <w:style w:type="character" w:customStyle="1" w:styleId="37">
    <w:name w:val="hover23"/>
    <w:basedOn w:val="7"/>
    <w:qFormat/>
    <w:uiPriority w:val="0"/>
    <w:rPr>
      <w:color w:val="FFFFFF"/>
      <w:u w:val="none"/>
      <w:shd w:val="clear" w:color="auto" w:fill="298BD4"/>
    </w:rPr>
  </w:style>
  <w:style w:type="character" w:customStyle="1" w:styleId="38">
    <w:name w:val="hover24"/>
    <w:basedOn w:val="7"/>
    <w:qFormat/>
    <w:uiPriority w:val="0"/>
    <w:rPr>
      <w:color w:val="FFFFFF"/>
      <w:u w:val="none"/>
      <w:shd w:val="clear" w:color="auto" w:fill="298BD4"/>
    </w:rPr>
  </w:style>
  <w:style w:type="character" w:customStyle="1" w:styleId="39">
    <w:name w:val="hover25"/>
    <w:basedOn w:val="7"/>
    <w:qFormat/>
    <w:uiPriority w:val="0"/>
    <w:rPr>
      <w:color w:val="FFFFFF"/>
      <w:u w:val="none"/>
      <w:shd w:val="clear" w:color="auto" w:fill="298BD4"/>
    </w:rPr>
  </w:style>
  <w:style w:type="paragraph" w:customStyle="1" w:styleId="40">
    <w:name w:val="List Paragraph"/>
    <w:basedOn w:val="1"/>
    <w:qFormat/>
    <w:uiPriority w:val="99"/>
    <w:pPr>
      <w:ind w:firstLine="420" w:firstLineChars="200"/>
    </w:pPr>
  </w:style>
  <w:style w:type="character" w:customStyle="1" w:styleId="41">
    <w:name w:val="wap-blue"/>
    <w:basedOn w:val="7"/>
    <w:qFormat/>
    <w:uiPriority w:val="0"/>
    <w:rPr>
      <w:color w:val="4D95E3"/>
    </w:rPr>
  </w:style>
  <w:style w:type="character" w:customStyle="1" w:styleId="42">
    <w:name w:val="swiper-pagination-bullet-active4"/>
    <w:basedOn w:val="7"/>
    <w:qFormat/>
    <w:uiPriority w:val="0"/>
    <w:rPr>
      <w:shd w:val="clear" w:fill="1369C0"/>
    </w:rPr>
  </w:style>
  <w:style w:type="character" w:customStyle="1" w:styleId="43">
    <w:name w:val="wap-cont"/>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1851</Words>
  <Characters>1978</Characters>
  <Lines>26</Lines>
  <Paragraphs>7</Paragraphs>
  <TotalTime>9</TotalTime>
  <ScaleCrop>false</ScaleCrop>
  <LinksUpToDate>false</LinksUpToDate>
  <CharactersWithSpaces>2025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MONSTER</cp:lastModifiedBy>
  <cp:lastPrinted>2022-01-29T02:13:00Z</cp:lastPrinted>
  <dcterms:modified xsi:type="dcterms:W3CDTF">2023-01-30T09:43:45Z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3F94B738F6934A4FA6CC79D098BB93FC</vt:lpwstr>
  </property>
</Properties>
</file>