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/>
        <w:textAlignment w:val="auto"/>
        <w:rPr>
          <w:rFonts w:ascii="Times New Roman" w:hAnsi="Times New Roman" w:eastAsia="黑体" w:cs="Times New Roman"/>
          <w:sz w:val="32"/>
          <w:szCs w:val="32"/>
          <w:lang w:bidi="ar"/>
        </w:rPr>
      </w:pPr>
      <w:r>
        <w:rPr>
          <w:rFonts w:hint="eastAsia" w:ascii="黑体" w:hAnsi="黑体" w:eastAsia="黑体" w:cs="黑体"/>
          <w:sz w:val="28"/>
          <w:szCs w:val="28"/>
          <w:lang w:bidi="ar"/>
        </w:rPr>
        <w:t>附件4</w:t>
      </w:r>
    </w:p>
    <w:p>
      <w:pPr>
        <w:spacing w:line="596" w:lineRule="exact"/>
        <w:jc w:val="center"/>
        <w:rPr>
          <w:rFonts w:ascii="Times New Roman" w:hAnsi="Times New Roman" w:eastAsia="方正小标宋简体" w:cs="Times New Roman"/>
          <w:kern w:val="0"/>
          <w:sz w:val="44"/>
          <w:szCs w:val="44"/>
          <w:lang w:bidi="ar"/>
        </w:rPr>
      </w:pPr>
      <w:bookmarkStart w:id="0" w:name="_GoBack"/>
      <w:r>
        <w:rPr>
          <w:rFonts w:ascii="Times New Roman" w:hAnsi="Times New Roman" w:eastAsia="方正小标宋简体" w:cs="Times New Roman"/>
          <w:kern w:val="0"/>
          <w:sz w:val="44"/>
          <w:szCs w:val="44"/>
          <w:lang w:bidi="ar"/>
        </w:rPr>
        <w:t>县级地震灾害响应条件</w:t>
      </w:r>
    </w:p>
    <w:bookmarkEnd w:id="0"/>
    <w:p>
      <w:pPr>
        <w:pStyle w:val="11"/>
        <w:spacing w:line="200" w:lineRule="exact"/>
        <w:ind w:left="420" w:firstLine="420"/>
        <w:rPr>
          <w:rFonts w:ascii="Times New Roman" w:hAnsi="Times New Roman" w:cs="Times New Roman"/>
        </w:rPr>
      </w:pPr>
    </w:p>
    <w:tbl>
      <w:tblPr>
        <w:tblStyle w:val="9"/>
        <w:tblW w:w="139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7"/>
        <w:gridCol w:w="4257"/>
        <w:gridCol w:w="50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" w:hRule="atLeast"/>
        </w:trPr>
        <w:tc>
          <w:tcPr>
            <w:tcW w:w="4657" w:type="dxa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  <w:t>三级响应</w:t>
            </w:r>
          </w:p>
        </w:tc>
        <w:tc>
          <w:tcPr>
            <w:tcW w:w="4257" w:type="dxa"/>
            <w:vAlign w:val="center"/>
          </w:tcPr>
          <w:p>
            <w:pPr>
              <w:widowControl/>
              <w:spacing w:line="360" w:lineRule="exact"/>
              <w:jc w:val="center"/>
              <w:textAlignment w:val="center"/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  <w:t>二级响应</w:t>
            </w:r>
          </w:p>
        </w:tc>
        <w:tc>
          <w:tcPr>
            <w:tcW w:w="5079" w:type="dxa"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b/>
                <w:sz w:val="24"/>
                <w:lang w:val="zh-CN"/>
              </w:rPr>
              <w:t>一级响应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9" w:hRule="atLeast"/>
        </w:trPr>
        <w:tc>
          <w:tcPr>
            <w:tcW w:w="4657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发生</w:t>
            </w:r>
            <w:r>
              <w:rPr>
                <w:rFonts w:ascii="Times New Roman" w:hAnsi="Times New Roman" w:cs="Times New Roman" w:eastAsiaTheme="majorEastAsia"/>
                <w:sz w:val="24"/>
              </w:rPr>
              <w:t>3</w:t>
            </w: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.0-</w:t>
            </w:r>
            <w:r>
              <w:rPr>
                <w:rFonts w:ascii="Times New Roman" w:hAnsi="Times New Roman" w:cs="Times New Roman" w:eastAsiaTheme="majorEastAsia"/>
                <w:sz w:val="24"/>
              </w:rPr>
              <w:t>4</w:t>
            </w: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.0级地震并造成</w:t>
            </w:r>
            <w:r>
              <w:rPr>
                <w:rFonts w:ascii="Times New Roman" w:hAnsi="Times New Roman" w:cs="Times New Roman" w:eastAsiaTheme="majorEastAsia"/>
                <w:sz w:val="24"/>
              </w:rPr>
              <w:t>3</w:t>
            </w: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人以下死亡（含失踪）</w:t>
            </w:r>
          </w:p>
        </w:tc>
        <w:tc>
          <w:tcPr>
            <w:tcW w:w="4257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人口较密集地区发生4.0-5.0级地震或地震灾害造成3人以上、10人以下死亡（含失踪）</w:t>
            </w:r>
          </w:p>
        </w:tc>
        <w:tc>
          <w:tcPr>
            <w:tcW w:w="5079" w:type="dxa"/>
            <w:vAlign w:val="center"/>
          </w:tcPr>
          <w:p>
            <w:pPr>
              <w:widowControl/>
              <w:spacing w:line="500" w:lineRule="exact"/>
              <w:rPr>
                <w:rFonts w:ascii="Times New Roman" w:hAnsi="Times New Roman" w:cs="Times New Roman" w:eastAsiaTheme="majorEastAsia"/>
                <w:sz w:val="24"/>
                <w:lang w:val="zh-CN"/>
              </w:rPr>
            </w:pPr>
            <w:r>
              <w:rPr>
                <w:rFonts w:ascii="Times New Roman" w:hAnsi="Times New Roman" w:cs="Times New Roman" w:eastAsiaTheme="majorEastAsia"/>
                <w:sz w:val="24"/>
                <w:lang w:val="zh-CN"/>
              </w:rPr>
              <w:t>人口较密集地区发生5.0级以上地震，人口密集地区发生4.0级以上地震或地震造成10人以上死亡（含失踪）</w:t>
            </w:r>
          </w:p>
        </w:tc>
      </w:tr>
    </w:tbl>
    <w:p>
      <w:pPr>
        <w:pStyle w:val="11"/>
        <w:spacing w:line="200" w:lineRule="exact"/>
        <w:ind w:left="0" w:leftChars="0" w:firstLine="480"/>
        <w:rPr>
          <w:rFonts w:ascii="Times New Roman" w:hAnsi="Times New Roman" w:cs="Times New Roman"/>
          <w:kern w:val="0"/>
          <w:sz w:val="24"/>
          <w:lang w:bidi="ar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textAlignment w:val="auto"/>
        <w:rPr>
          <w:rFonts w:ascii="Times New Roman" w:hAnsi="Times New Roman" w:cs="Times New Roman"/>
          <w:lang w:bidi="ar"/>
        </w:rPr>
      </w:pPr>
      <w:r>
        <w:rPr>
          <w:rFonts w:ascii="Times New Roman" w:hAnsi="Times New Roman" w:cs="Times New Roman"/>
          <w:lang w:bidi="ar"/>
        </w:rPr>
        <w:t>说明：1、人口密集地区专指设区市的城区，其余地区为人口较密集区。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firstLine="720" w:firstLineChars="300"/>
        <w:textAlignment w:val="auto"/>
        <w:rPr>
          <w:rFonts w:ascii="Times New Roman" w:hAnsi="Times New Roman" w:cs="Times New Roman"/>
          <w:lang w:bidi="ar"/>
        </w:rPr>
        <w:sectPr>
          <w:footerReference r:id="rId3" w:type="default"/>
          <w:pgSz w:w="16838" w:h="11906" w:orient="landscape"/>
          <w:pgMar w:top="1871" w:right="1474" w:bottom="1701" w:left="1587" w:header="851" w:footer="1417" w:gutter="0"/>
          <w:cols w:space="0" w:num="1"/>
          <w:docGrid w:type="lines" w:linePitch="312" w:charSpace="0"/>
        </w:sectPr>
      </w:pPr>
      <w:r>
        <w:rPr>
          <w:rFonts w:ascii="Times New Roman" w:hAnsi="Times New Roman" w:cs="Times New Roman"/>
          <w:lang w:bidi="ar"/>
        </w:rPr>
        <w:t>2、“以上”包括本数，“以下”不包括本数。</w:t>
      </w:r>
    </w:p>
    <w:p>
      <w:pPr>
        <w:overflowPunct w:val="0"/>
        <w:spacing w:line="596" w:lineRule="exact"/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</w:pPr>
      <w:r>
        <w:rPr>
          <w:rFonts w:hint="eastAsia" w:ascii="黑体" w:hAnsi="黑体" w:eastAsia="黑体" w:cs="黑体"/>
          <w:kern w:val="0"/>
          <w:sz w:val="28"/>
          <w:szCs w:val="28"/>
          <w:lang w:val="en-US" w:eastAsia="zh-CN" w:bidi="ar"/>
        </w:rPr>
        <w:t>附件5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overflowPunct w:val="0"/>
        <w:spacing w:line="596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地震应急措施</w:t>
      </w:r>
    </w:p>
    <w:p>
      <w:pPr>
        <w:overflowPunct w:val="0"/>
        <w:spacing w:line="596" w:lineRule="exact"/>
        <w:ind w:firstLine="880" w:firstLineChars="200"/>
        <w:rPr>
          <w:rFonts w:ascii="Times New Roman" w:hAnsi="Times New Roman" w:eastAsia="方正小标宋简体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各乡（镇）人民政府、有关单位根据灾情和抗震救灾需要，应采取以下应急措施：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一、搜救人员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立即组织基层组织、有关单位和广大干部群众开展自救互救，立即采取交通管控措施，同时组织协调武警部队、民兵应急分队、地震紧急救援、综合性消防救援、建筑和市政等各方面救援力量，调配生命搜索营救设备及大型吊车、起重机等救援装备，抢救被掩埋人员，组织营救受灾被困人员。在县抗震救灾指挥部统一领导协调下，现场救援队伍之间加强衔接和配合，合理划分责任区边界，遇有危险时及时传递警报，做好自身安全防护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二、开展医疗救治和卫生防疫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迅速协调组织医疗卫生队伍赶赴受灾严重地区，抢救受伤人员，必要时建立战地医院或医疗点，实施现场救治。加强医疗卫生应急物资和设备的组织调度，特别是加大对重灾区及偏远地区医疗器械、药品供应，确保被救人员得到及时医治，最大程度减少伤员致死、致残。统筹周边地区的医疗资源，根据需要分流、转运伤员，实施异地救治。开展灾后心理援助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灾区卫生防疫工作。及时对灾区水源进行监测消毒，加强食品和饮用水卫生监督；妥善处置遇难者遗体，做好死亡动物、医疗废弃物、生活垃圾、粪便等消毒和无害化处理；加强鼠疫、狂犬病的监测、防控和处理，及时接种疫苗；实行重大传染病和突发卫生事件每日报告制度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三、安置受灾群众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开放或设置临时应急避难场所，组织筹集和调运食品、饮用水、衣被、帐篷、移动厕所等各类救灾物资，解决受灾群众吃饭、饮水、穿衣、住宿等问题；在受灾村镇、街道设置救灾物资发放点，确保救灾物资有序发放；根据需要组织生产、调运、安装活动板房和简易房；在受灾群众集中安置点配备必要的消防设备器材，严防火灾发生。救灾物资优先保证学校、医院、福利院的需要；优先安置孤儿、孤老及残疾人员，确保其基本生活。鼓励采取投亲靠友等方式，广泛动员社会力量安置受灾群众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做好遇难人员的善后工作，抚慰遇难者家属；积极创造条件， 组织灾区学校复课。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四、抢修基础设施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抢通修复因灾损毁的铁路、公路、桥梁、隧道等交通基础设施，协调运力优先保障应急抢险救援人员、救灾物资和伤病人员的运输需要。抢修供电、供水、供气、通信、广播电视等基础设施，保障灾区群众基本生活需要和应急工作需要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五、加强现场监测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防震减灾中心组织布设或恢复现场地震观测设施，实时跟踪地震序列活动，密切监视震情发展，对震区及全县震情形势进行研判。气象部门加强气象监测研判，密切关注灾区重大气象变化。县自然资源局和市生态环境局夏县分局安排专业力量加强地质灾害、空气、水源、土壤污染监测，预防、减轻或消除危害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六、防御次生灾害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次生灾害监测预警，防范因强余震和降雨形成的山体崩塌、滑坡、泥石流、地面塌陷、地裂缝、滚石等造成新的人员伤亡和交通堵塞；组织专家对全县河流、水库、堤坝等开展险情排查、评估和除险加固，必要时组织下游危险地区人员转移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加强危险化学品生产储存设备、输油气管道、输配电线路、非煤矿山等的受损情况排查，及时采取安全防范措施。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七、维护社会治安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加强灾区治安、道路交通管理，加强重点单位、重点部位治安防范工作，依法查处和打击盗窃、抢劫、聚众哄抢、诈骗、造谣传谣等违法犯罪活动，做好涉灾涉稳风险监测、矛盾纠纷排查化解和法律服务工作，严密防范、妥善处置群体性事件，维护国家政治安全和社会稳定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八、开展社会动员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根据灾情需求、交通运输等情况，向社会公布志愿服务需求指南，及时开通志愿服务联系电话等平台，通过社会应急力量管理系统，统一接收志愿者组织报名，做好志愿者派遣和相关管理服务工作，引导志愿者安全有序参与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视情开展捐款捐物活动，加强救灾捐赠的组织发动和款物接收、统计、分配、使用、公示反馈等各环节工作。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九、发布信息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县抗震救灾指挥部统一实施地震灾害信息发布工作，回应社会关切。信息发布做到统一、及时、准确、客观。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十、新闻宣传与舆情应对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</w:t>
      </w:r>
      <w:r>
        <w:rPr>
          <w:rFonts w:ascii="Times New Roman" w:hAnsi="Times New Roman" w:eastAsia="仿宋_GB2312" w:cs="Times New Roman"/>
          <w:spacing w:val="-6"/>
          <w:sz w:val="32"/>
          <w:szCs w:val="32"/>
        </w:rPr>
        <w:t>委宣传部统筹做好地震灾害应急处置新闻报道工作。加强舆情应对和引导，依法打击编造、传播地震谣言等虚假信息的行为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十一、开展灾害调查与评估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县防震减灾中心开展地震烈度、发震构造、地震宏观异常现象、工程结构震害特征、地震社会影响和各种地震地质灾害调查等。县应急管理局、县工信科局、县农业农村局、县自然资源局、县住建局、县水利局、县交通运输局、市生态环境局夏县分局、县能源局等有关单位深入调查灾区范围、受灾人口、人员伤亡数量、建构筑物和基础设施破坏程度、环境影响程度以及监测预警、应急处置与救援、灾害防治能力情况等，组织开展灾害调查评估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黑体" w:cs="Times New Roman"/>
          <w:sz w:val="32"/>
          <w:szCs w:val="32"/>
        </w:rPr>
        <w:t>十二、终止应急响应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textAlignment w:val="auto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抢险救灾工作基本结束、紧急转移和安置工作基本完成、地震次生灾害的后果基本消除，以及交通、电力、通信、广播电视和供水等基本抢修抢通，灾区生活秩序基本恢复后，由启动应急响应的原机构决定终止应急响应。</w:t>
      </w:r>
    </w:p>
    <w:p/>
    <w:p>
      <w:pPr>
        <w:pStyle w:val="2"/>
      </w:pPr>
    </w:p>
    <w:p/>
    <w:p>
      <w:pPr>
        <w:pStyle w:val="2"/>
      </w:pPr>
    </w:p>
    <w:p/>
    <w:p>
      <w:r>
        <w:br w:type="page"/>
      </w: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</w:t>
      </w:r>
    </w:p>
    <w:p>
      <w:pPr>
        <w:pStyle w:val="2"/>
        <w:ind w:left="0" w:leftChars="0" w:right="-436" w:rightChars="0" w:firstLine="0" w:firstLineChars="0"/>
        <w:rPr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562610</wp:posOffset>
                </wp:positionV>
                <wp:extent cx="5623560" cy="0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44.3pt;height:0pt;width:442.8pt;z-index:251661312;mso-width-relative:page;mso-height-relative:page;" filled="f" stroked="t" coordsize="21600,21600" o:gfxdata="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LefoRfUAAAABgEAAA8AAAAAAAAAAQAgAAAAIgAAAGRycy9kb3ducmV2LnhtbFBL&#10;AQIUABQAAAAIAIdO4kDtBDxS+gEAAPUDAAAOAAAAAAAAAAEAIAAAACMBAABkcnMvZTJvRG9jLnht&#10;bFBLBQYAAAAABgAGAFkBAACPBQAA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160655</wp:posOffset>
                </wp:positionV>
                <wp:extent cx="5623560" cy="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3560" cy="0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2.65pt;height:0pt;width:442.8pt;z-index:251660288;mso-width-relative:page;mso-height-relative:page;" filled="f" stroked="t" coordsize="21600,21600" o:gfxdata="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ZHtottYAAAAGAQAADwAAAAAAAAABACAAAAAiAAAAZHJzL2Rvd25yZXYueG1s&#10;UEsBAhQAFAAAAAgAh07iQFgXPC/6AQAA9QMAAA4AAAAAAAAAAQAgAAAAJQEAAGRycy9lMm9Eb2Mu&#10;eG1sUEsFBgAAAAAGAAYAWQEAAJE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夏县人民政府办公室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秘书股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　　　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cs="仿宋_GB2312"/>
          <w:b w:val="0"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　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2022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年</w:t>
      </w:r>
      <w:r>
        <w:rPr>
          <w:rFonts w:hint="eastAsia" w:ascii="仿宋_GB2312" w:hAnsi="仿宋_GB2312" w:cs="仿宋_GB2312"/>
          <w:b w:val="0"/>
          <w:bCs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月</w:t>
      </w:r>
      <w:r>
        <w:rPr>
          <w:rFonts w:hint="eastAsia" w:ascii="仿宋_GB2312" w:hAnsi="仿宋_GB2312" w:cs="仿宋_GB2312"/>
          <w:b w:val="0"/>
          <w:bCs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日印发</w:t>
      </w:r>
    </w:p>
    <w:sectPr>
      <w:pgSz w:w="11906" w:h="16838"/>
      <w:pgMar w:top="1871" w:right="1474" w:bottom="1701" w:left="1587" w:header="851" w:footer="1417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911CEB4-231E-48E2-9FB0-061BC002B26D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7DA00CB2-FDEE-4E78-8B4C-1D59C4D6BD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88FDC71-AD10-4918-9183-A02E498BCC0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DE91CC4-219B-40AF-BA1C-978C16FEABD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EB5D433-8AC0-48A5-BCA1-AD53447EF6A9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5701F844-8B5C-4C03-87DC-D0420510373C}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迷你简仿宋">
    <w:altName w:val="仿宋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E300392F-B516-47E5-99D1-D2B3FE3C2B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left="0"/>
      <w:rPr>
        <w:sz w:val="20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0" name="文本框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3yhEssAgAAW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jfKESywCAABZ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NTU1ZTkwNWZlNjkzYzgyMDczNWM0OTZiNmY0YjkifQ=="/>
  </w:docVars>
  <w:rsids>
    <w:rsidRoot w:val="0009378D"/>
    <w:rsid w:val="00044D81"/>
    <w:rsid w:val="0009378D"/>
    <w:rsid w:val="0012250A"/>
    <w:rsid w:val="00173176"/>
    <w:rsid w:val="001A50D8"/>
    <w:rsid w:val="001B1B06"/>
    <w:rsid w:val="001C14B8"/>
    <w:rsid w:val="001E762A"/>
    <w:rsid w:val="001F0517"/>
    <w:rsid w:val="001F6142"/>
    <w:rsid w:val="00240A6B"/>
    <w:rsid w:val="00242206"/>
    <w:rsid w:val="002B7E16"/>
    <w:rsid w:val="002F02CF"/>
    <w:rsid w:val="003320A7"/>
    <w:rsid w:val="003422E3"/>
    <w:rsid w:val="003C3B62"/>
    <w:rsid w:val="004358E0"/>
    <w:rsid w:val="004A06FA"/>
    <w:rsid w:val="005A08B4"/>
    <w:rsid w:val="005C536A"/>
    <w:rsid w:val="005D3699"/>
    <w:rsid w:val="00650BEB"/>
    <w:rsid w:val="006743CE"/>
    <w:rsid w:val="006C79D5"/>
    <w:rsid w:val="006F1EC2"/>
    <w:rsid w:val="00700537"/>
    <w:rsid w:val="00746CE6"/>
    <w:rsid w:val="00765A53"/>
    <w:rsid w:val="00787C5E"/>
    <w:rsid w:val="00820894"/>
    <w:rsid w:val="00850236"/>
    <w:rsid w:val="00855516"/>
    <w:rsid w:val="008962C2"/>
    <w:rsid w:val="00901244"/>
    <w:rsid w:val="009465E3"/>
    <w:rsid w:val="009669B4"/>
    <w:rsid w:val="00986E5E"/>
    <w:rsid w:val="009A37A3"/>
    <w:rsid w:val="009C29DE"/>
    <w:rsid w:val="009F500C"/>
    <w:rsid w:val="00A24AD2"/>
    <w:rsid w:val="00A62A71"/>
    <w:rsid w:val="00A96653"/>
    <w:rsid w:val="00AE347D"/>
    <w:rsid w:val="00AF3EBB"/>
    <w:rsid w:val="00B22A43"/>
    <w:rsid w:val="00BB7D1E"/>
    <w:rsid w:val="00BE6BDD"/>
    <w:rsid w:val="00C107D6"/>
    <w:rsid w:val="00C91C30"/>
    <w:rsid w:val="00CA7276"/>
    <w:rsid w:val="00CB3733"/>
    <w:rsid w:val="00CB7C51"/>
    <w:rsid w:val="00D14202"/>
    <w:rsid w:val="00D514F8"/>
    <w:rsid w:val="00D5154A"/>
    <w:rsid w:val="00DB15B9"/>
    <w:rsid w:val="00DC5778"/>
    <w:rsid w:val="00E10018"/>
    <w:rsid w:val="00E84465"/>
    <w:rsid w:val="00F4302E"/>
    <w:rsid w:val="00F65353"/>
    <w:rsid w:val="00F733F6"/>
    <w:rsid w:val="00FD0B0F"/>
    <w:rsid w:val="07300CC3"/>
    <w:rsid w:val="0D3E7C0F"/>
    <w:rsid w:val="116B5B74"/>
    <w:rsid w:val="11AB74C7"/>
    <w:rsid w:val="127A10F3"/>
    <w:rsid w:val="17984446"/>
    <w:rsid w:val="19090D99"/>
    <w:rsid w:val="224C47AB"/>
    <w:rsid w:val="22C32593"/>
    <w:rsid w:val="2DC7118A"/>
    <w:rsid w:val="306C4B24"/>
    <w:rsid w:val="32EA37BD"/>
    <w:rsid w:val="33202C0C"/>
    <w:rsid w:val="40ED47C1"/>
    <w:rsid w:val="449256E7"/>
    <w:rsid w:val="449A3645"/>
    <w:rsid w:val="4B555BCF"/>
    <w:rsid w:val="4D720805"/>
    <w:rsid w:val="5694674A"/>
    <w:rsid w:val="5742424E"/>
    <w:rsid w:val="58F479AA"/>
    <w:rsid w:val="5D2E6280"/>
    <w:rsid w:val="5D437F7D"/>
    <w:rsid w:val="60341DFF"/>
    <w:rsid w:val="6398505C"/>
    <w:rsid w:val="658F4C0C"/>
    <w:rsid w:val="65CE223F"/>
    <w:rsid w:val="69BD4C56"/>
    <w:rsid w:val="6A19041D"/>
    <w:rsid w:val="6DF80910"/>
    <w:rsid w:val="736D76AA"/>
    <w:rsid w:val="785901FD"/>
    <w:rsid w:val="78FF0DA4"/>
    <w:rsid w:val="7A90420A"/>
    <w:rsid w:val="7E981418"/>
    <w:rsid w:val="7EA4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1"/>
    <w:pPr>
      <w:ind w:left="1355" w:right="1514"/>
      <w:jc w:val="center"/>
      <w:outlineLvl w:val="0"/>
    </w:pPr>
    <w:rPr>
      <w:rFonts w:ascii="PMingLiU" w:hAnsi="PMingLiU" w:eastAsia="PMingLiU" w:cs="PMingLiU"/>
      <w:sz w:val="39"/>
      <w:szCs w:val="39"/>
      <w:lang w:val="zh-CN" w:bidi="zh-CN"/>
    </w:rPr>
  </w:style>
  <w:style w:type="paragraph" w:styleId="2">
    <w:name w:val="heading 5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0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00"/>
    </w:pPr>
    <w:rPr>
      <w:rFonts w:ascii="迷你简仿宋" w:hAnsi="迷你简仿宋" w:eastAsia="迷你简仿宋" w:cs="迷你简仿宋"/>
      <w:sz w:val="29"/>
      <w:szCs w:val="29"/>
      <w:lang w:val="zh-CN" w:bidi="zh-CN"/>
    </w:rPr>
  </w:style>
  <w:style w:type="paragraph" w:styleId="5">
    <w:name w:val="Balloon Text"/>
    <w:basedOn w:val="1"/>
    <w:link w:val="13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Normal (Web)"/>
    <w:basedOn w:val="1"/>
    <w:next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1">
    <w:name w:val="正文首行缩进 21"/>
    <w:basedOn w:val="12"/>
    <w:next w:val="8"/>
    <w:qFormat/>
    <w:uiPriority w:val="99"/>
    <w:pPr>
      <w:ind w:firstLine="200" w:firstLineChars="200"/>
    </w:pPr>
  </w:style>
  <w:style w:type="paragraph" w:customStyle="1" w:styleId="12">
    <w:name w:val="正文文本缩进1"/>
    <w:basedOn w:val="1"/>
    <w:qFormat/>
    <w:uiPriority w:val="99"/>
    <w:pPr>
      <w:ind w:left="200" w:leftChars="200"/>
    </w:pPr>
  </w:style>
  <w:style w:type="character" w:customStyle="1" w:styleId="13">
    <w:name w:val="批注框文本 Char"/>
    <w:basedOn w:val="10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4850BF2-DADD-414B-A709-3D68D8806B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daohangxitong.com</Company>
  <Pages>8</Pages>
  <Words>2399</Words>
  <Characters>2463</Characters>
  <Lines>96</Lines>
  <Paragraphs>27</Paragraphs>
  <TotalTime>39</TotalTime>
  <ScaleCrop>false</ScaleCrop>
  <LinksUpToDate>false</LinksUpToDate>
  <CharactersWithSpaces>2477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2021-07-15T02:47:00Z</dcterms:created>
  <dc:creator>忘忧草</dc:creator>
  <cp:lastModifiedBy>WPS_1550895372</cp:lastModifiedBy>
  <cp:lastPrinted>2022-06-23T02:02:00Z</cp:lastPrinted>
  <dcterms:modified xsi:type="dcterms:W3CDTF">2022-06-29T10:17:31Z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608A5AB0D62F4F07AB345C5AE5B76A94</vt:lpwstr>
  </property>
  <property fmtid="{D5CDD505-2E9C-101B-9397-08002B2CF9AE}" pid="4" name="KSOSaveFontToCloudKey">
    <vt:lpwstr>332937404_embed</vt:lpwstr>
  </property>
</Properties>
</file>