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等线" w:hAnsi="等线" w:eastAsia="仿宋" w:cs="等线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6" w:afterAutospacing="0" w:line="360" w:lineRule="auto"/>
        <w:ind w:left="0" w:right="0"/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56" w:afterAutospacing="0" w:line="360" w:lineRule="auto"/>
        <w:ind w:left="0" w:right="0"/>
        <w:jc w:val="center"/>
        <w:rPr>
          <w:rFonts w:hint="default" w:ascii="等线" w:hAnsi="等线" w:eastAsia="等线" w:cs="等线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szCs w:val="44"/>
        </w:rPr>
        <w:t>医养结合机构服务质量提升行动汇总表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等线" w:hAnsi="等线" w:eastAsia="等线" w:cs="等线"/>
          <w:sz w:val="21"/>
          <w:szCs w:val="21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 填报单位</w:t>
      </w:r>
      <w:r>
        <w:rPr>
          <w:rFonts w:hint="default" w:ascii="Times New Roman" w:hAnsi="Times New Roman" w:eastAsia="等线" w:cs="Times New Roman"/>
          <w:b/>
          <w:color w:val="000000"/>
          <w:sz w:val="24"/>
          <w:szCs w:val="24"/>
        </w:rPr>
        <w:t> (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签章</w:t>
      </w:r>
      <w:r>
        <w:rPr>
          <w:rFonts w:hint="default" w:ascii="Times New Roman" w:hAnsi="Times New Roman" w:eastAsia="等线" w:cs="Times New Roman"/>
          <w:b/>
          <w:color w:val="000000"/>
          <w:sz w:val="24"/>
          <w:szCs w:val="24"/>
        </w:rPr>
        <w:t>) </w:t>
      </w:r>
      <w:r>
        <w:rPr>
          <w:rFonts w:hint="eastAsia" w:ascii="仿宋" w:hAnsi="仿宋" w:eastAsia="仿宋" w:cs="仿宋"/>
          <w:b/>
          <w:color w:val="000000"/>
          <w:spacing w:val="-14"/>
          <w:sz w:val="24"/>
          <w:szCs w:val="24"/>
        </w:rPr>
        <w:t>：</w:t>
      </w:r>
      <w:r>
        <w:rPr>
          <w:rFonts w:hint="default" w:ascii="Times New Roman" w:hAnsi="Times New Roman" w:eastAsia="等线" w:cs="Times New Roman"/>
          <w:b/>
          <w:color w:val="000000"/>
          <w:spacing w:val="-14"/>
          <w:sz w:val="24"/>
          <w:szCs w:val="24"/>
        </w:rPr>
        <w:t>___________</w:t>
      </w:r>
      <w:r>
        <w:rPr>
          <w:rFonts w:hint="eastAsia" w:ascii="仿宋" w:hAnsi="仿宋" w:eastAsia="仿宋" w:cs="仿宋"/>
          <w:b/>
          <w:color w:val="000000"/>
          <w:spacing w:val="-14"/>
          <w:sz w:val="24"/>
          <w:szCs w:val="24"/>
        </w:rPr>
        <w:t>省（区、市）卫生健康委        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等线" w:hAnsi="等线" w:eastAsia="等线" w:cs="等线"/>
          <w:sz w:val="21"/>
          <w:szCs w:val="21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 填表人：</w:t>
      </w:r>
      <w:r>
        <w:rPr>
          <w:rFonts w:hint="default" w:ascii="Times New Roman" w:hAnsi="Times New Roman" w:eastAsia="等线" w:cs="Times New Roman"/>
          <w:b/>
          <w:color w:val="000000"/>
          <w:spacing w:val="-14"/>
          <w:sz w:val="24"/>
          <w:szCs w:val="24"/>
        </w:rPr>
        <w:t>___________</w:t>
      </w:r>
      <w:r>
        <w:rPr>
          <w:rFonts w:hint="eastAsia" w:ascii="仿宋" w:hAnsi="仿宋" w:eastAsia="仿宋" w:cs="仿宋"/>
          <w:b/>
          <w:color w:val="000000"/>
          <w:spacing w:val="-14"/>
          <w:sz w:val="24"/>
          <w:szCs w:val="24"/>
        </w:rPr>
        <w:t> 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 联系电话：</w:t>
      </w:r>
      <w:r>
        <w:rPr>
          <w:rFonts w:hint="default" w:ascii="Times New Roman" w:hAnsi="Times New Roman" w:eastAsia="等线" w:cs="Times New Roman"/>
          <w:b/>
          <w:color w:val="000000"/>
          <w:spacing w:val="-14"/>
          <w:sz w:val="24"/>
          <w:szCs w:val="24"/>
        </w:rPr>
        <w:t>__________</w:t>
      </w:r>
      <w:r>
        <w:rPr>
          <w:rFonts w:hint="eastAsia" w:ascii="仿宋" w:hAnsi="仿宋" w:eastAsia="仿宋" w:cs="仿宋"/>
          <w:b/>
          <w:color w:val="000000"/>
          <w:spacing w:val="-14"/>
          <w:sz w:val="24"/>
          <w:szCs w:val="24"/>
        </w:rPr>
        <w:t> 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 填报日期：</w:t>
      </w:r>
      <w:r>
        <w:rPr>
          <w:rFonts w:hint="default" w:ascii="Times New Roman" w:hAnsi="Times New Roman" w:eastAsia="等线" w:cs="Times New Roman"/>
          <w:b/>
          <w:color w:val="000000"/>
          <w:spacing w:val="-14"/>
          <w:sz w:val="24"/>
          <w:szCs w:val="24"/>
        </w:rPr>
        <w:t>_______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年</w:t>
      </w:r>
      <w:r>
        <w:rPr>
          <w:rFonts w:hint="default" w:ascii="Times New Roman" w:hAnsi="Times New Roman" w:eastAsia="等线" w:cs="Times New Roman"/>
          <w:b/>
          <w:color w:val="000000"/>
          <w:spacing w:val="-14"/>
          <w:sz w:val="24"/>
          <w:szCs w:val="24"/>
        </w:rPr>
        <w:t>___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月</w:t>
      </w:r>
      <w:r>
        <w:rPr>
          <w:rFonts w:hint="default" w:ascii="Times New Roman" w:hAnsi="Times New Roman" w:eastAsia="等线" w:cs="Times New Roman"/>
          <w:b/>
          <w:color w:val="000000"/>
          <w:spacing w:val="-14"/>
          <w:sz w:val="24"/>
          <w:szCs w:val="24"/>
        </w:rPr>
        <w:t>___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日</w:t>
      </w:r>
      <w:r>
        <w:rPr>
          <w:rFonts w:hint="eastAsia" w:ascii="楷体" w:hAnsi="楷体" w:eastAsia="楷体" w:cs="楷体"/>
          <w:b/>
          <w:color w:val="000000"/>
          <w:sz w:val="24"/>
          <w:szCs w:val="24"/>
        </w:rPr>
        <w:t>                    </w:t>
      </w:r>
    </w:p>
    <w:tbl>
      <w:tblPr>
        <w:tblStyle w:val="3"/>
        <w:tblW w:w="83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4307"/>
        <w:gridCol w:w="806"/>
        <w:gridCol w:w="806"/>
        <w:gridCol w:w="806"/>
        <w:gridCol w:w="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内  容</w:t>
            </w:r>
          </w:p>
        </w:tc>
        <w:tc>
          <w:tcPr>
            <w:tcW w:w="322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数  量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832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 一、医养结合机构（以下简称“机构”）情况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28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辖区内机构数量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28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辖区内机构医疗床位总数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28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辖区内机构家庭病床总数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28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开展自查的机构数量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28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省级进行实地抽查的机构数量</w:t>
            </w:r>
          </w:p>
        </w:tc>
        <w:tc>
          <w:tcPr>
            <w:tcW w:w="32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5099" w:type="dxa"/>
            <w:gridSpan w:val="2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 二、检查内容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自查机构中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抽查机构中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5099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-6"/>
                <w:sz w:val="24"/>
                <w:szCs w:val="24"/>
              </w:rPr>
              <w:t>存在问</w:t>
            </w: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题</w:t>
            </w:r>
          </w:p>
        </w:tc>
        <w:tc>
          <w:tcPr>
            <w:tcW w:w="8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已整改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pacing w:val="-6"/>
                <w:sz w:val="24"/>
                <w:szCs w:val="24"/>
              </w:rPr>
              <w:t>存在问</w:t>
            </w:r>
            <w:r>
              <w:rPr>
                <w:rFonts w:hint="eastAsia" w:ascii="黑体" w:hAnsi="宋体" w:eastAsia="黑体" w:cs="黑体"/>
                <w:color w:val="000000"/>
                <w:spacing w:val="-5"/>
                <w:sz w:val="24"/>
                <w:szCs w:val="24"/>
              </w:rPr>
              <w:t>题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28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具备医疗机构执业资质。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28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卫生专业技术人员具有相应执业资格，并在执业范围内执业。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28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落实各项医疗质量安全管理核心制度。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28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药品购置、存放、调剂、应用达标。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28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明确专人负责院内感染控制，落实院内感染防控各项措施。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28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符合医务人员手卫生规范要求。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28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老年人健康管理科学、规范，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老年人Ⅱ度及以上压疮在院新发生率低于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5%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28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医嘱、处方合格率不低于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95%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，病历记录合格率为</w:t>
            </w: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100%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  <w:jc w:val="center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28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符合医养结合服务有关标准、规范要求，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服务衔接有序，严格按照医疗卫生机构出入院标准进行转换。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28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落实新冠肺炎疫情防控和传染病防控各项要求，建立制度，压实责任。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6" w:hRule="atLeast"/>
          <w:jc w:val="center"/>
        </w:trPr>
        <w:tc>
          <w:tcPr>
            <w:tcW w:w="832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 存在问题：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0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一、基本要求方面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0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二、制度落实方面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0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三、开展服务方面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0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四、机构管理和服务能力方面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0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五、信息化建设方面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0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六、常态化疫情防控和传染病疫情防控方面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2" w:hRule="atLeast"/>
          <w:jc w:val="center"/>
        </w:trPr>
        <w:tc>
          <w:tcPr>
            <w:tcW w:w="832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 整改情况：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0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一、基本要求方面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0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二、制度落实方面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0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三、规范开展服务方面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0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四、提高管理和服务能力方面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0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五、强化信息化建设方面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0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六、常态化疫情防控和传染病疫情防控方面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482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YjAyYTMxM2UzYmRiNjY1NjI3MjExYmVhMDExMTkifQ=="/>
  </w:docVars>
  <w:rsids>
    <w:rsidRoot w:val="651205CE"/>
    <w:rsid w:val="651205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2022-05-05T02:50:00Z</dcterms:created>
  <dc:creator>Administrator</dc:creator>
  <cp:lastModifiedBy>Administrator</cp:lastModifiedBy>
  <dcterms:modified xsi:type="dcterms:W3CDTF">2022-05-05T02:53:23Z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A95E49EED91A49B1848A0B6C39017556</vt:lpwstr>
  </property>
</Properties>
</file>