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jc w:val="both"/>
        <w:rPr>
          <w:rFonts w:ascii="等线" w:hAnsi="等线" w:eastAsia="等线" w:cs="等线"/>
          <w:sz w:val="21"/>
          <w:szCs w:val="21"/>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 </w:t>
      </w:r>
      <w:r>
        <w:rPr>
          <w:rFonts w:hint="default" w:ascii="Times New Roman" w:hAnsi="Times New Roman" w:eastAsia="等线" w:cs="Times New Roman"/>
          <w:sz w:val="32"/>
          <w:szCs w:val="32"/>
        </w:rPr>
        <w:t>       </w:t>
      </w:r>
    </w:p>
    <w:p>
      <w:pPr>
        <w:pStyle w:val="2"/>
        <w:keepNext w:val="0"/>
        <w:keepLines w:val="0"/>
        <w:widowControl/>
        <w:suppressLineNumbers w:val="0"/>
        <w:spacing w:before="0" w:beforeAutospacing="0" w:after="120" w:afterAutospacing="0" w:line="360" w:lineRule="auto"/>
        <w:ind w:left="0" w:right="0"/>
        <w:jc w:val="center"/>
        <w:rPr>
          <w:rFonts w:hint="default" w:ascii="等线" w:hAnsi="等线" w:eastAsia="等线" w:cs="等线"/>
          <w:sz w:val="21"/>
          <w:szCs w:val="21"/>
        </w:rPr>
      </w:pPr>
      <w:bookmarkStart w:id="0" w:name="_GoBack"/>
      <w:r>
        <w:rPr>
          <w:rFonts w:hint="eastAsia" w:ascii="宋体" w:hAnsi="宋体" w:eastAsia="宋体" w:cs="宋体"/>
          <w:b/>
          <w:sz w:val="44"/>
          <w:szCs w:val="44"/>
        </w:rPr>
        <w:t>医养结合机构服务质量自查整改表</w:t>
      </w:r>
      <w:bookmarkEnd w:id="0"/>
    </w:p>
    <w:p>
      <w:pPr>
        <w:pStyle w:val="2"/>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Times New Roman" w:hAnsi="Times New Roman" w:eastAsia="等线" w:cs="Times New Roman"/>
          <w:b/>
          <w:color w:val="000000"/>
          <w:spacing w:val="-14"/>
          <w:sz w:val="24"/>
          <w:szCs w:val="24"/>
        </w:rPr>
        <w:t>______</w:t>
      </w:r>
      <w:r>
        <w:rPr>
          <w:rFonts w:hint="eastAsia" w:ascii="仿宋" w:hAnsi="仿宋" w:eastAsia="仿宋" w:cs="仿宋"/>
          <w:b/>
          <w:color w:val="000000"/>
          <w:spacing w:val="-14"/>
          <w:sz w:val="24"/>
          <w:szCs w:val="24"/>
        </w:rPr>
        <w:t>省（区、市）</w:t>
      </w:r>
      <w:r>
        <w:rPr>
          <w:rFonts w:hint="eastAsia" w:ascii="仿宋" w:hAnsi="仿宋" w:eastAsia="仿宋" w:cs="仿宋"/>
          <w:b/>
          <w:color w:val="000000"/>
          <w:spacing w:val="-14"/>
          <w:sz w:val="24"/>
          <w:szCs w:val="24"/>
          <w:u w:val="single"/>
        </w:rPr>
        <w:t>      </w:t>
      </w:r>
      <w:r>
        <w:rPr>
          <w:rFonts w:hint="eastAsia" w:ascii="仿宋" w:hAnsi="仿宋" w:eastAsia="仿宋" w:cs="仿宋"/>
          <w:b/>
          <w:color w:val="000000"/>
          <w:spacing w:val="-14"/>
          <w:sz w:val="24"/>
          <w:szCs w:val="24"/>
        </w:rPr>
        <w:t>市（区）</w:t>
      </w:r>
      <w:r>
        <w:rPr>
          <w:rFonts w:hint="default" w:ascii="Times New Roman" w:hAnsi="Times New Roman" w:eastAsia="等线" w:cs="Times New Roman"/>
          <w:b/>
          <w:color w:val="000000"/>
          <w:spacing w:val="-14"/>
          <w:sz w:val="24"/>
          <w:szCs w:val="24"/>
        </w:rPr>
        <w:t>_____</w:t>
      </w:r>
      <w:r>
        <w:rPr>
          <w:rFonts w:hint="eastAsia" w:ascii="仿宋" w:hAnsi="仿宋" w:eastAsia="仿宋" w:cs="仿宋"/>
          <w:b/>
          <w:color w:val="000000"/>
          <w:spacing w:val="-14"/>
          <w:sz w:val="24"/>
          <w:szCs w:val="24"/>
        </w:rPr>
        <w:t>县（市、区）</w:t>
      </w:r>
      <w:r>
        <w:rPr>
          <w:rFonts w:hint="default" w:ascii="Times New Roman" w:hAnsi="Times New Roman" w:eastAsia="等线" w:cs="Times New Roman"/>
          <w:b/>
          <w:color w:val="000000"/>
          <w:spacing w:val="-14"/>
          <w:sz w:val="24"/>
          <w:szCs w:val="24"/>
        </w:rPr>
        <w:t>    </w:t>
      </w:r>
      <w:r>
        <w:rPr>
          <w:rFonts w:hint="eastAsia" w:ascii="仿宋" w:hAnsi="仿宋" w:eastAsia="仿宋" w:cs="仿宋"/>
          <w:b/>
          <w:color w:val="000000"/>
          <w:spacing w:val="-14"/>
          <w:sz w:val="24"/>
          <w:szCs w:val="24"/>
        </w:rPr>
        <w:t>           </w:t>
      </w:r>
      <w:r>
        <w:rPr>
          <w:rFonts w:hint="eastAsia" w:ascii="仿宋" w:hAnsi="仿宋" w:eastAsia="仿宋" w:cs="仿宋"/>
          <w:b/>
          <w:color w:val="000000"/>
          <w:sz w:val="24"/>
          <w:szCs w:val="24"/>
        </w:rPr>
        <w:t>填报单位</w:t>
      </w:r>
      <w:r>
        <w:rPr>
          <w:rFonts w:hint="default" w:ascii="Times New Roman" w:hAnsi="Times New Roman" w:eastAsia="等线" w:cs="Times New Roman"/>
          <w:b/>
          <w:color w:val="000000"/>
          <w:sz w:val="24"/>
          <w:szCs w:val="24"/>
        </w:rPr>
        <w:t> (</w:t>
      </w:r>
      <w:r>
        <w:rPr>
          <w:rFonts w:hint="eastAsia" w:ascii="仿宋" w:hAnsi="仿宋" w:eastAsia="仿宋" w:cs="仿宋"/>
          <w:b/>
          <w:color w:val="000000"/>
          <w:sz w:val="24"/>
          <w:szCs w:val="24"/>
        </w:rPr>
        <w:t>签章</w:t>
      </w:r>
      <w:r>
        <w:rPr>
          <w:rFonts w:hint="default" w:ascii="Times New Roman" w:hAnsi="Times New Roman" w:eastAsia="等线" w:cs="Times New Roman"/>
          <w:b/>
          <w:color w:val="000000"/>
          <w:sz w:val="24"/>
          <w:szCs w:val="24"/>
        </w:rPr>
        <w:t>) </w:t>
      </w:r>
      <w:r>
        <w:rPr>
          <w:rFonts w:hint="eastAsia" w:ascii="仿宋" w:hAnsi="仿宋" w:eastAsia="仿宋" w:cs="仿宋"/>
          <w:b/>
          <w:color w:val="000000"/>
          <w:sz w:val="24"/>
          <w:szCs w:val="24"/>
        </w:rPr>
        <w:t>：</w:t>
      </w:r>
      <w:r>
        <w:rPr>
          <w:rFonts w:hint="default" w:ascii="Times New Roman" w:hAnsi="Times New Roman" w:eastAsia="等线" w:cs="Times New Roman"/>
          <w:b/>
          <w:color w:val="000000"/>
          <w:sz w:val="24"/>
          <w:szCs w:val="24"/>
        </w:rPr>
        <w:t>__________________ </w:t>
      </w:r>
      <w:r>
        <w:rPr>
          <w:rFonts w:hint="eastAsia" w:ascii="仿宋" w:hAnsi="仿宋" w:eastAsia="仿宋" w:cs="仿宋"/>
          <w:b/>
          <w:color w:val="000000"/>
          <w:spacing w:val="-14"/>
          <w:sz w:val="24"/>
          <w:szCs w:val="24"/>
        </w:rPr>
        <w:t>        </w:t>
      </w:r>
    </w:p>
    <w:p>
      <w:pPr>
        <w:pStyle w:val="2"/>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eastAsia" w:ascii="仿宋" w:hAnsi="仿宋" w:eastAsia="仿宋" w:cs="仿宋"/>
          <w:b/>
          <w:color w:val="000000"/>
          <w:sz w:val="24"/>
          <w:szCs w:val="24"/>
        </w:rPr>
        <w:t>填表人：</w:t>
      </w:r>
      <w:r>
        <w:rPr>
          <w:rFonts w:hint="default" w:ascii="Times New Roman" w:hAnsi="Times New Roman" w:eastAsia="等线" w:cs="Times New Roman"/>
          <w:b/>
          <w:color w:val="000000"/>
          <w:spacing w:val="-14"/>
          <w:sz w:val="24"/>
          <w:szCs w:val="24"/>
        </w:rPr>
        <w:t>__________</w:t>
      </w:r>
      <w:r>
        <w:rPr>
          <w:rFonts w:hint="eastAsia" w:ascii="仿宋" w:hAnsi="仿宋" w:eastAsia="仿宋" w:cs="仿宋"/>
          <w:b/>
          <w:color w:val="000000"/>
          <w:spacing w:val="-14"/>
          <w:sz w:val="24"/>
          <w:szCs w:val="24"/>
        </w:rPr>
        <w:t> </w:t>
      </w:r>
      <w:r>
        <w:rPr>
          <w:rFonts w:hint="eastAsia" w:ascii="仿宋" w:hAnsi="仿宋" w:eastAsia="仿宋" w:cs="仿宋"/>
          <w:b/>
          <w:color w:val="000000"/>
          <w:sz w:val="24"/>
          <w:szCs w:val="24"/>
        </w:rPr>
        <w:t>        联系电话：</w:t>
      </w:r>
      <w:r>
        <w:rPr>
          <w:rFonts w:hint="default" w:ascii="Times New Roman" w:hAnsi="Times New Roman" w:eastAsia="等线" w:cs="Times New Roman"/>
          <w:b/>
          <w:color w:val="000000"/>
          <w:spacing w:val="-14"/>
          <w:sz w:val="24"/>
          <w:szCs w:val="24"/>
        </w:rPr>
        <w:t>___________</w:t>
      </w:r>
      <w:r>
        <w:rPr>
          <w:rFonts w:hint="eastAsia" w:ascii="仿宋" w:hAnsi="仿宋" w:eastAsia="仿宋" w:cs="仿宋"/>
          <w:b/>
          <w:color w:val="000000"/>
          <w:spacing w:val="-14"/>
          <w:sz w:val="24"/>
          <w:szCs w:val="24"/>
        </w:rPr>
        <w:t> </w:t>
      </w:r>
      <w:r>
        <w:rPr>
          <w:rFonts w:hint="eastAsia" w:ascii="仿宋" w:hAnsi="仿宋" w:eastAsia="仿宋" w:cs="仿宋"/>
          <w:b/>
          <w:color w:val="000000"/>
          <w:sz w:val="24"/>
          <w:szCs w:val="24"/>
        </w:rPr>
        <w:t>        填报日期：</w:t>
      </w:r>
      <w:r>
        <w:rPr>
          <w:rFonts w:hint="default" w:ascii="Times New Roman" w:hAnsi="Times New Roman" w:eastAsia="等线" w:cs="Times New Roman"/>
          <w:b/>
          <w:color w:val="000000"/>
          <w:sz w:val="24"/>
          <w:szCs w:val="24"/>
        </w:rPr>
        <w:t>______</w:t>
      </w:r>
      <w:r>
        <w:rPr>
          <w:rFonts w:hint="eastAsia" w:ascii="仿宋" w:hAnsi="仿宋" w:eastAsia="仿宋" w:cs="仿宋"/>
          <w:b/>
          <w:color w:val="000000"/>
          <w:sz w:val="24"/>
          <w:szCs w:val="24"/>
        </w:rPr>
        <w:t>年</w:t>
      </w:r>
      <w:r>
        <w:rPr>
          <w:rFonts w:hint="default" w:ascii="Times New Roman" w:hAnsi="Times New Roman" w:eastAsia="等线" w:cs="Times New Roman"/>
          <w:b/>
          <w:color w:val="000000"/>
          <w:sz w:val="24"/>
          <w:szCs w:val="24"/>
        </w:rPr>
        <w:t>___</w:t>
      </w:r>
      <w:r>
        <w:rPr>
          <w:rFonts w:hint="eastAsia" w:ascii="仿宋" w:hAnsi="仿宋" w:eastAsia="仿宋" w:cs="仿宋"/>
          <w:b/>
          <w:color w:val="000000"/>
          <w:sz w:val="24"/>
          <w:szCs w:val="24"/>
        </w:rPr>
        <w:t>月</w:t>
      </w:r>
      <w:r>
        <w:rPr>
          <w:rFonts w:hint="default" w:ascii="Times New Roman" w:hAnsi="Times New Roman" w:eastAsia="等线" w:cs="Times New Roman"/>
          <w:b/>
          <w:color w:val="000000"/>
          <w:sz w:val="24"/>
          <w:szCs w:val="24"/>
        </w:rPr>
        <w:t>___</w:t>
      </w:r>
      <w:r>
        <w:rPr>
          <w:rFonts w:hint="eastAsia" w:ascii="仿宋" w:hAnsi="仿宋" w:eastAsia="仿宋" w:cs="仿宋"/>
          <w:b/>
          <w:color w:val="000000"/>
          <w:sz w:val="24"/>
          <w:szCs w:val="24"/>
        </w:rPr>
        <w:t>日</w:t>
      </w:r>
      <w:r>
        <w:rPr>
          <w:rFonts w:hint="default" w:ascii="Times New Roman" w:hAnsi="Times New Roman" w:eastAsia="等线" w:cs="Times New Roman"/>
          <w:b/>
          <w:color w:val="000000"/>
          <w:sz w:val="24"/>
          <w:szCs w:val="24"/>
        </w:rPr>
        <w:t> </w:t>
      </w:r>
    </w:p>
    <w:tbl>
      <w:tblPr>
        <w:tblStyle w:val="3"/>
        <w:tblW w:w="13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4419"/>
        <w:gridCol w:w="1887"/>
        <w:gridCol w:w="4868"/>
        <w:gridCol w:w="1034"/>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13982" w:type="dxa"/>
            <w:gridSpan w:val="6"/>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黑体" w:hAnsi="宋体" w:eastAsia="黑体" w:cs="黑体"/>
                <w:color w:val="000000"/>
                <w:sz w:val="24"/>
                <w:szCs w:val="24"/>
              </w:rPr>
              <w:t>医养结合机构基本情况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6991" w:type="dxa"/>
            <w:gridSpan w:val="3"/>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医疗床位数量：            家庭病床数量：</w:t>
            </w:r>
          </w:p>
        </w:tc>
        <w:tc>
          <w:tcPr>
            <w:tcW w:w="699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上年度医疗床位数量：            家庭病床数量：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ascii="楷体" w:hAnsi="楷体" w:eastAsia="楷体" w:cs="楷体"/>
                <w:b/>
                <w:color w:val="000000"/>
                <w:sz w:val="24"/>
                <w:szCs w:val="24"/>
              </w:rPr>
              <w:t>医养结合机构中医疗卫生机构基本情况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医疗机构类型：</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□综合医院 □专科医院（含康复医院）□护理院 □中医医院 □基层医疗卫生机构</w:t>
            </w:r>
            <w:r>
              <w:rPr>
                <w:rFonts w:hint="default" w:ascii="Times New Roman" w:hAnsi="Times New Roman" w:eastAsia="等线" w:cs="Times New Roman"/>
                <w:color w:val="000000"/>
                <w:sz w:val="24"/>
                <w:szCs w:val="24"/>
              </w:rPr>
              <w:t> </w:t>
            </w:r>
          </w:p>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□其他（请注明）：</w:t>
            </w:r>
            <w:r>
              <w:rPr>
                <w:rFonts w:hint="default" w:ascii="Times New Roman" w:hAnsi="Times New Roman" w:eastAsia="等线" w:cs="Times New Roman"/>
                <w:color w:val="000000"/>
                <w:sz w:val="24"/>
                <w:szCs w:val="24"/>
              </w:rPr>
              <w:t>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医疗机构注册类型：</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□公立机构 □非公立机构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医疗机构等级：</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□三级医院 □二级医院 □一级医院 □未定级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纳入医保情况：</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□纳入 □未纳入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楷体" w:hAnsi="楷体" w:eastAsia="楷体" w:cs="楷体"/>
                <w:b/>
                <w:color w:val="000000"/>
                <w:sz w:val="24"/>
                <w:szCs w:val="24"/>
              </w:rPr>
              <w:t>医养结合机构中养老机构基本情况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养老机构类别：</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□养老院（敬老院） □日间照料中心（含养老驿站等）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5104" w:type="dxa"/>
            <w:gridSpan w:val="2"/>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养老机构经营方式：</w:t>
            </w:r>
          </w:p>
        </w:tc>
        <w:tc>
          <w:tcPr>
            <w:tcW w:w="8878" w:type="dxa"/>
            <w:gridSpan w:val="4"/>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□公办公营 □公建民营 □民办民营 □其他（请注明）</w:t>
            </w:r>
            <w:r>
              <w:rPr>
                <w:rFonts w:hint="default" w:ascii="Times New Roman" w:hAnsi="Times New Roman" w:eastAsia="等线" w:cs="Times New Roman"/>
                <w:color w:val="000000"/>
                <w:sz w:val="24"/>
                <w:szCs w:val="24"/>
              </w:rPr>
              <w:t>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eastAsia" w:ascii="楷体" w:hAnsi="楷体" w:eastAsia="楷体" w:cs="楷体"/>
                <w:b/>
                <w:color w:val="000000"/>
                <w:sz w:val="24"/>
                <w:szCs w:val="24"/>
              </w:rPr>
              <w:t>序号</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eastAsia" w:ascii="楷体" w:hAnsi="楷体" w:eastAsia="楷体" w:cs="楷体"/>
                <w:b/>
                <w:color w:val="000000"/>
                <w:sz w:val="24"/>
                <w:szCs w:val="24"/>
              </w:rPr>
              <w:t>自 查 内 容</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eastAsia" w:ascii="楷体" w:hAnsi="楷体" w:eastAsia="楷体" w:cs="楷体"/>
                <w:b/>
                <w:color w:val="000000"/>
                <w:sz w:val="24"/>
                <w:szCs w:val="24"/>
              </w:rPr>
              <w:t>自查情况</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eastAsia" w:ascii="楷体" w:hAnsi="楷体" w:eastAsia="楷体" w:cs="楷体"/>
                <w:b/>
                <w:color w:val="000000"/>
                <w:sz w:val="24"/>
                <w:szCs w:val="24"/>
              </w:rPr>
              <w:t>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一、落实医养结合机构基本要求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医疗机构具有相应资质。</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医疗机构科室设置、人员配备、设施设备配备、药品配备，根据医疗机构的类型相应地符合各类医疗机构的基本标准。</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3</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卫生专业技术人员按照规定和需求配备，具有相应执业资格，并在执业范围内执业。</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4</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建筑设计符合《医疗机构基本标准》《老年人照料设施建筑设计标准》等要求。进行适老化改造，有关设施设备符合适老化要求。</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二、落实医养结合机构服务和管理相关制度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5</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医疗卫生服务严格执行相关法律法规、规范性文件和强制性标准，落实各项医疗质量安全管理核心制度，制定相适应的人员管理、服务标准和管理规范，确保医疗卫生安全。</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4"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6</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按照《医院感染管理办法》和医院感染控制行业标准要求，加强医院感染的预防与控制工作。开展中医医疗技术符合《中医医疗技术相关性感染预防与控制指南（试行）》要求。设专人负责院内感染控制，落实院内感染防控各项措施。</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7</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药品购置、存放、调剂、应用符合《中华人民共和国药品管理法》等规定。</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8</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建立完善的医疗仪器设备操作规程、维修保养制度，并严格按照操作规程使用，定期维修保养、自检并做好记录。</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9</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10</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按照国家、行业标准，符合消防部门相关要求，配备消防设施设备，落实日常消防安全管理要求，定期进行安全生产检查，无重大火灾隐患。</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三、规范提供医养结合相关服务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11</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根据《医养结合机构服务指南（试行）》制定具体服务流程，建立医养联动机制。</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12</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定期举办老年人健康知识讲座，普及老年人健康科学知识。为老年人提供环境适应、情绪疏导、心理支持、危机干预、情志调节等心理精神支持服务。</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13</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建立老年人健康档案，每年自行提供或安排其他医疗卫生机构提供至少</w:t>
            </w:r>
            <w:r>
              <w:rPr>
                <w:rFonts w:hint="default" w:ascii="Times New Roman" w:hAnsi="Times New Roman" w:eastAsia="等线" w:cs="Times New Roman"/>
                <w:color w:val="000000"/>
                <w:sz w:val="24"/>
                <w:szCs w:val="24"/>
              </w:rPr>
              <w:t>1</w:t>
            </w:r>
            <w:r>
              <w:rPr>
                <w:rFonts w:hint="eastAsia" w:ascii="仿宋" w:hAnsi="仿宋" w:eastAsia="仿宋" w:cs="仿宋"/>
                <w:color w:val="000000"/>
                <w:sz w:val="24"/>
                <w:szCs w:val="24"/>
              </w:rPr>
              <w:t>次体检服务。</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14</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参照已发布的临床路径和有关诊疗指南为老年人提供常见病、多发病诊疗服务。</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15</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参照《老年护理实践指南（试行）》提供护理服务。按照《常用康复治疗技术操作规范（</w:t>
            </w:r>
            <w:r>
              <w:rPr>
                <w:rFonts w:hint="default" w:ascii="Times New Roman" w:hAnsi="Times New Roman" w:eastAsia="等线" w:cs="Times New Roman"/>
                <w:color w:val="000000"/>
                <w:sz w:val="24"/>
                <w:szCs w:val="24"/>
              </w:rPr>
              <w:t>2012</w:t>
            </w:r>
            <w:r>
              <w:rPr>
                <w:rFonts w:hint="eastAsia" w:ascii="仿宋" w:hAnsi="仿宋" w:eastAsia="仿宋" w:cs="仿宋"/>
                <w:color w:val="000000"/>
                <w:sz w:val="24"/>
                <w:szCs w:val="24"/>
              </w:rPr>
              <w:t>年版）》相关要求提供康复服务。</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16</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凭医师处方为老年人提供药物，为老年人出具麻醉药品、精神药品的专用处方和专用帐册的管理符合相关规定。</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sz w:val="24"/>
                <w:szCs w:val="24"/>
              </w:rPr>
              <w:t>17</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sz w:val="24"/>
                <w:szCs w:val="24"/>
              </w:rPr>
              <w:t>分区科学合理，院内医疗废物存放点与治疗区域隔开。</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sz w:val="24"/>
                <w:szCs w:val="24"/>
              </w:rPr>
              <w:t>18</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按照《医疗机构管理条例》《医疗机构病历管理规定》</w:t>
            </w:r>
            <w:r>
              <w:rPr>
                <w:rFonts w:hint="eastAsia" w:ascii="仿宋" w:hAnsi="仿宋" w:eastAsia="仿宋" w:cs="仿宋"/>
                <w:sz w:val="24"/>
                <w:szCs w:val="24"/>
              </w:rPr>
              <w:t>《中医病例书写基本规范》《中医处方格式及书写规范》</w:t>
            </w:r>
            <w:r>
              <w:rPr>
                <w:rFonts w:hint="eastAsia" w:ascii="仿宋" w:hAnsi="仿宋" w:eastAsia="仿宋" w:cs="仿宋"/>
                <w:color w:val="000000"/>
                <w:sz w:val="24"/>
                <w:szCs w:val="24"/>
              </w:rPr>
              <w:t>等要求规范书写、保存、使用病历，病历记录合格率为</w:t>
            </w:r>
            <w:r>
              <w:rPr>
                <w:rFonts w:hint="default" w:ascii="Times New Roman" w:hAnsi="Times New Roman" w:eastAsia="等线" w:cs="Times New Roman"/>
                <w:color w:val="000000"/>
                <w:sz w:val="24"/>
                <w:szCs w:val="24"/>
              </w:rPr>
              <w:t>100%</w:t>
            </w:r>
            <w:r>
              <w:rPr>
                <w:rFonts w:hint="eastAsia" w:ascii="仿宋" w:hAnsi="仿宋" w:eastAsia="仿宋" w:cs="仿宋"/>
                <w:color w:val="000000"/>
                <w:sz w:val="24"/>
                <w:szCs w:val="24"/>
              </w:rPr>
              <w:t>，开具的医嘱、处方合格率不低于</w:t>
            </w:r>
            <w:r>
              <w:rPr>
                <w:rFonts w:hint="default" w:ascii="Times New Roman" w:hAnsi="Times New Roman" w:eastAsia="等线" w:cs="Times New Roman"/>
                <w:color w:val="000000"/>
                <w:sz w:val="24"/>
                <w:szCs w:val="24"/>
              </w:rPr>
              <w:t>95%</w:t>
            </w:r>
            <w:r>
              <w:rPr>
                <w:rFonts w:hint="eastAsia" w:ascii="仿宋" w:hAnsi="仿宋" w:eastAsia="仿宋" w:cs="仿宋"/>
                <w:color w:val="000000"/>
                <w:sz w:val="24"/>
                <w:szCs w:val="24"/>
              </w:rPr>
              <w:t>。</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sz w:val="24"/>
                <w:szCs w:val="24"/>
              </w:rPr>
              <w:t>19</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符合《医务人员手卫生规范》的要求。</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20</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对老年人开展噎食、食品药品误食、压疮、烫伤、坠床、跌倒、他伤和自伤、走失、文娱活动意外等方面的安全风险评估，明确防范措施、应急处理流程和报告制度。有失智老年人的机构做好安全防护措施。</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sz w:val="24"/>
                <w:szCs w:val="24"/>
              </w:rPr>
              <w:t>21</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sz w:val="24"/>
                <w:szCs w:val="24"/>
              </w:rPr>
              <w:t>符合医养结合服务有关标准、规范要求，</w:t>
            </w:r>
            <w:r>
              <w:rPr>
                <w:rFonts w:hint="eastAsia" w:ascii="仿宋" w:hAnsi="仿宋" w:eastAsia="仿宋" w:cs="仿宋"/>
                <w:color w:val="000000"/>
                <w:sz w:val="24"/>
                <w:szCs w:val="24"/>
              </w:rPr>
              <w:t>服务衔接有序，严格按照医疗卫生机构出入院标准进行转换。</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22</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sz w:val="24"/>
                <w:szCs w:val="24"/>
              </w:rPr>
              <w:t>老年人健康管理科学、规范，</w:t>
            </w:r>
            <w:r>
              <w:rPr>
                <w:rFonts w:hint="eastAsia" w:ascii="仿宋" w:hAnsi="仿宋" w:eastAsia="仿宋" w:cs="仿宋"/>
                <w:color w:val="000000"/>
                <w:sz w:val="24"/>
                <w:szCs w:val="24"/>
              </w:rPr>
              <w:t>老年人Ⅱ度及以上压疮在院新发生率低于</w:t>
            </w:r>
            <w:r>
              <w:rPr>
                <w:rFonts w:hint="default" w:ascii="Times New Roman" w:hAnsi="Times New Roman" w:eastAsia="等线" w:cs="Times New Roman"/>
                <w:color w:val="000000"/>
                <w:sz w:val="24"/>
                <w:szCs w:val="24"/>
              </w:rPr>
              <w:t>5%</w:t>
            </w:r>
            <w:r>
              <w:rPr>
                <w:rFonts w:hint="eastAsia" w:ascii="仿宋" w:hAnsi="仿宋" w:eastAsia="仿宋" w:cs="仿宋"/>
                <w:color w:val="000000"/>
                <w:sz w:val="24"/>
                <w:szCs w:val="24"/>
              </w:rPr>
              <w:t>。</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四、提高医养结合机构管理和服务人员能力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23</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定期开展医德医风、人文理念教育，树立以人为本、尊老爱老敬老的服务理念。</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24</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医务人员遵从《医疗机构从业人员行为规范》，医疗护理员等服务人员遵从国家法律法规和行业标准规范等相关要求。</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25</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做好职称评定、专业技术培训和继续医学教育等工作。分级分类对专业技术人员及服务人员进行专业技能培训和安全常识培训。</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26</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定期组织医务人员进行“三基三严”培训，“三基”考核人人达标。</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五、强化医养结合机构信息化建设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27</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加强信息系统建设，实现医养结合机构内老年人信息互通共享和网络医疗，提升服务质量和效率。</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13982" w:type="dxa"/>
            <w:gridSpan w:val="6"/>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eastAsia" w:ascii="黑体" w:hAnsi="宋体" w:eastAsia="黑体" w:cs="黑体"/>
                <w:color w:val="000000"/>
                <w:sz w:val="24"/>
                <w:szCs w:val="24"/>
              </w:rPr>
              <w:t>六、做好常态化疫情防控和传染病防控工作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4"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28</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严格执行新冠肺炎疫情防控和传染病防控有关部署及工作规范、指南，建立防控预案，明确分工，压实责任。开展对外诊疗服务的机构，完善门急诊预检分诊管理，加强发热门诊管理和感染防控，做好医务人员和入住老年人的防护工作，消除机构内交叉感染风险。</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29</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严格按照《传染病防治法》《医疗机构内新型冠状病毒感染预防与控制技术指南》和《养老机构新型冠状病毒感染的肺炎疫情防控指南》等法律法规及相关规定，做好新冠肺炎疫情防控和传染病防控工作。</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color w:val="000000"/>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4" w:hRule="atLeast"/>
          <w:jc w:val="center"/>
        </w:trPr>
        <w:tc>
          <w:tcPr>
            <w:tcW w:w="684" w:type="dxa"/>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等线" w:hAnsi="等线" w:eastAsia="等线" w:cs="等线"/>
                <w:sz w:val="21"/>
                <w:szCs w:val="21"/>
              </w:rPr>
            </w:pPr>
            <w:r>
              <w:rPr>
                <w:rFonts w:hint="default" w:ascii="Times New Roman" w:hAnsi="Times New Roman" w:eastAsia="等线" w:cs="Times New Roman"/>
                <w:color w:val="000000"/>
                <w:sz w:val="24"/>
                <w:szCs w:val="24"/>
              </w:rPr>
              <w:t>30</w:t>
            </w:r>
          </w:p>
        </w:tc>
        <w:tc>
          <w:tcPr>
            <w:tcW w:w="11181" w:type="dxa"/>
            <w:gridSpan w:val="3"/>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等线" w:hAnsi="等线" w:eastAsia="等线" w:cs="等线"/>
                <w:sz w:val="21"/>
                <w:szCs w:val="21"/>
              </w:rPr>
            </w:pPr>
            <w:r>
              <w:rPr>
                <w:rFonts w:hint="eastAsia" w:ascii="仿宋" w:hAnsi="仿宋" w:eastAsia="仿宋" w:cs="仿宋"/>
                <w:color w:val="000000"/>
                <w:sz w:val="24"/>
                <w:szCs w:val="24"/>
              </w:rPr>
              <w:t>发现机构内有发热或疑似感染新冠病毒的老年人或工作人员，立即报告并按相关要求做好处置工作。发现机构内有其他传染病病人，在规定时限内进行网络直报或向卫生健康行政部门指定的卫生防疫机构报告疫情，并按规定做好疫情处理。</w:t>
            </w:r>
          </w:p>
        </w:tc>
        <w:tc>
          <w:tcPr>
            <w:tcW w:w="1034"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color w:val="000000"/>
                <w:sz w:val="24"/>
                <w:szCs w:val="24"/>
              </w:rPr>
              <w:t> </w:t>
            </w:r>
          </w:p>
        </w:tc>
        <w:tc>
          <w:tcPr>
            <w:tcW w:w="1083" w:type="dxa"/>
            <w:tcBorders>
              <w:top w:val="nil"/>
              <w:left w:val="nil"/>
              <w:bottom w:val="single" w:color="auto" w:sz="8" w:space="0"/>
              <w:right w:val="single" w:color="auto" w:sz="8" w:space="0"/>
            </w:tcBorders>
            <w:shd w:val="clear" w:color="auto" w:fill="auto"/>
            <w:tcMar>
              <w:top w:w="12" w:type="dxa"/>
              <w:left w:w="12" w:type="dxa"/>
              <w:right w:w="12"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等线" w:hAnsi="等线" w:eastAsia="等线" w:cs="等线"/>
                <w:sz w:val="21"/>
                <w:szCs w:val="21"/>
              </w:rPr>
            </w:pPr>
            <w:r>
              <w:rPr>
                <w:rFonts w:hint="default" w:ascii="Times New Roman" w:hAnsi="Times New Roman" w:eastAsia="等线"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690" w:type="dxa"/>
            <w:shd w:val="clear" w:color="auto" w:fill="auto"/>
            <w:vAlign w:val="center"/>
          </w:tcPr>
          <w:p>
            <w:pPr>
              <w:rPr>
                <w:rFonts w:hint="eastAsia" w:ascii="宋体"/>
                <w:sz w:val="24"/>
                <w:szCs w:val="24"/>
              </w:rPr>
            </w:pPr>
          </w:p>
        </w:tc>
        <w:tc>
          <w:tcPr>
            <w:tcW w:w="4425" w:type="dxa"/>
            <w:shd w:val="clear" w:color="auto" w:fill="auto"/>
            <w:vAlign w:val="center"/>
          </w:tcPr>
          <w:p>
            <w:pPr>
              <w:rPr>
                <w:rFonts w:hint="eastAsia" w:ascii="宋体"/>
                <w:sz w:val="24"/>
                <w:szCs w:val="24"/>
              </w:rPr>
            </w:pPr>
          </w:p>
        </w:tc>
        <w:tc>
          <w:tcPr>
            <w:tcW w:w="1890" w:type="dxa"/>
            <w:shd w:val="clear" w:color="auto" w:fill="auto"/>
            <w:vAlign w:val="center"/>
          </w:tcPr>
          <w:p>
            <w:pPr>
              <w:rPr>
                <w:rFonts w:hint="eastAsia" w:ascii="宋体"/>
                <w:sz w:val="24"/>
                <w:szCs w:val="24"/>
              </w:rPr>
            </w:pPr>
          </w:p>
        </w:tc>
        <w:tc>
          <w:tcPr>
            <w:tcW w:w="4875" w:type="dxa"/>
            <w:shd w:val="clear" w:color="auto" w:fill="auto"/>
            <w:vAlign w:val="center"/>
          </w:tcPr>
          <w:p>
            <w:pPr>
              <w:rPr>
                <w:rFonts w:hint="eastAsia" w:ascii="宋体"/>
                <w:sz w:val="24"/>
                <w:szCs w:val="24"/>
              </w:rPr>
            </w:pPr>
          </w:p>
        </w:tc>
        <w:tc>
          <w:tcPr>
            <w:tcW w:w="1035" w:type="dxa"/>
            <w:shd w:val="clear" w:color="auto" w:fill="auto"/>
            <w:vAlign w:val="center"/>
          </w:tcPr>
          <w:p>
            <w:pPr>
              <w:rPr>
                <w:rFonts w:hint="eastAsia" w:ascii="宋体"/>
                <w:sz w:val="24"/>
                <w:szCs w:val="24"/>
              </w:rPr>
            </w:pPr>
          </w:p>
        </w:tc>
        <w:tc>
          <w:tcPr>
            <w:tcW w:w="1080" w:type="dxa"/>
            <w:shd w:val="clear" w:color="auto" w:fill="auto"/>
            <w:vAlign w:val="center"/>
          </w:tcPr>
          <w:p>
            <w:pPr>
              <w:rPr>
                <w:rFonts w:hint="eastAsia" w:ascii="宋体"/>
                <w:sz w:val="24"/>
                <w:szCs w:val="24"/>
              </w:rPr>
            </w:pPr>
          </w:p>
        </w:tc>
      </w:tr>
    </w:tbl>
    <w:p>
      <w:pPr>
        <w:pStyle w:val="2"/>
        <w:keepNext w:val="0"/>
        <w:keepLines w:val="0"/>
        <w:widowControl/>
        <w:suppressLineNumbers w:val="0"/>
        <w:spacing w:line="23" w:lineRule="atLeast"/>
        <w:jc w:val="both"/>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YjAyYTMxM2UzYmRiNjY1NjI3MjExYmVhMDExMTkifQ=="/>
  </w:docVars>
  <w:rsids>
    <w:rsidRoot w:val="3F525A90"/>
    <w:rsid w:val="3F525A90"/>
    <w:rsid w:val="648E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4924</Words>
  <Characters>5356</Characters>
  <Lines>0</Lines>
  <Paragraphs>0</Paragraphs>
  <TotalTime>5</TotalTime>
  <ScaleCrop>false</ScaleCrop>
  <LinksUpToDate>false</LinksUpToDate>
  <CharactersWithSpaces>5356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2020-12-14T16:23:00Z</dcterms:created>
  <dc:creator>beyondzw</dc:creator>
  <cp:lastModifiedBy>Administrator</cp:lastModifiedBy>
  <dcterms:modified xsi:type="dcterms:W3CDTF">2022-05-05T02:53:09Z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C7825265FE044CF2A2C2544DBC118C16</vt:lpwstr>
  </property>
</Properties>
</file>