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庙前镇</w:t>
      </w:r>
      <w:r>
        <w:rPr>
          <w:rFonts w:hint="eastAsia" w:ascii="方正小标宋简体" w:hAnsi="方正小标宋简体" w:eastAsia="方正小标宋简体" w:cs="方正小标宋简体"/>
          <w:spacing w:val="0"/>
          <w:sz w:val="44"/>
          <w:szCs w:val="44"/>
          <w:lang w:val="en-US" w:eastAsia="zh-CN"/>
        </w:rPr>
        <w:t>2021</w:t>
      </w:r>
      <w:r>
        <w:rPr>
          <w:rFonts w:hint="eastAsia" w:ascii="方正小标宋简体" w:hAnsi="方正小标宋简体" w:eastAsia="方正小标宋简体" w:cs="方正小标宋简体"/>
          <w:spacing w:val="0"/>
          <w:sz w:val="44"/>
          <w:szCs w:val="44"/>
        </w:rPr>
        <w:t>年度政府信息公开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0"/>
          <w:sz w:val="44"/>
          <w:szCs w:val="44"/>
        </w:rPr>
        <w:t>工作</w:t>
      </w:r>
      <w:r>
        <w:rPr>
          <w:rFonts w:hint="eastAsia" w:ascii="方正小标宋简体" w:hAnsi="方正小标宋简体" w:eastAsia="方正小标宋简体" w:cs="方正小标宋简体"/>
          <w:spacing w:val="9"/>
          <w:sz w:val="44"/>
          <w:szCs w:val="44"/>
          <w:lang w:eastAsia="zh-CN"/>
        </w:rPr>
        <w:t>年度</w:t>
      </w:r>
      <w:r>
        <w:rPr>
          <w:rFonts w:hint="eastAsia" w:ascii="方正小标宋简体" w:hAnsi="方正小标宋简体" w:eastAsia="方正小标宋简体" w:cs="方正小标宋简体"/>
          <w:spacing w:val="9"/>
          <w:sz w:val="44"/>
          <w:szCs w:val="44"/>
        </w:rPr>
        <w:t>报告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lang w:val="en-US" w:eastAsia="zh-CN"/>
        </w:rPr>
        <w:t>2021年是中国共产党建党100周年，是“十四五”规划开局之年，</w:t>
      </w:r>
      <w:r>
        <w:rPr>
          <w:rFonts w:hint="eastAsia" w:ascii="仿宋_GB2312" w:hAnsi="仿宋_GB2312" w:eastAsia="仿宋_GB2312" w:cs="仿宋_GB2312"/>
          <w:color w:val="auto"/>
          <w:sz w:val="32"/>
          <w:szCs w:val="32"/>
        </w:rPr>
        <w:t>镇党委、政府高度重视，</w:t>
      </w:r>
      <w:r>
        <w:rPr>
          <w:rFonts w:hint="eastAsia" w:ascii="仿宋_GB2312" w:hAnsi="仿宋_GB2312" w:eastAsia="仿宋_GB2312" w:cs="仿宋_GB2312"/>
          <w:color w:val="auto"/>
          <w:sz w:val="32"/>
          <w:szCs w:val="32"/>
          <w:lang w:eastAsia="zh-CN"/>
        </w:rPr>
        <w:t>始终将</w:t>
      </w:r>
      <w:r>
        <w:rPr>
          <w:rFonts w:hint="eastAsia" w:ascii="仿宋_GB2312" w:hAnsi="仿宋_GB2312" w:eastAsia="仿宋_GB2312" w:cs="仿宋_GB2312"/>
          <w:color w:val="auto"/>
          <w:sz w:val="32"/>
          <w:szCs w:val="32"/>
        </w:rPr>
        <w:t>政府信息公开</w:t>
      </w:r>
      <w:r>
        <w:rPr>
          <w:rFonts w:hint="eastAsia" w:ascii="仿宋_GB2312" w:hAnsi="仿宋_GB2312" w:eastAsia="仿宋_GB2312" w:cs="仿宋_GB2312"/>
          <w:color w:val="auto"/>
          <w:sz w:val="32"/>
          <w:szCs w:val="32"/>
          <w:lang w:eastAsia="zh-CN"/>
        </w:rPr>
        <w:t>作为</w:t>
      </w:r>
      <w:r>
        <w:rPr>
          <w:rFonts w:hint="eastAsia" w:ascii="仿宋_GB2312" w:hAnsi="仿宋_GB2312" w:eastAsia="仿宋_GB2312" w:cs="仿宋_GB2312"/>
          <w:color w:val="auto"/>
          <w:sz w:val="32"/>
          <w:szCs w:val="32"/>
          <w:highlight w:val="none"/>
        </w:rPr>
        <w:t>提升政府形象、提高办事效率、增加行政执法透明度的一项重要工作来抓。</w:t>
      </w:r>
      <w:r>
        <w:rPr>
          <w:rFonts w:hint="eastAsia" w:ascii="仿宋_GB2312" w:hAnsi="仿宋_GB2312" w:eastAsia="仿宋_GB2312" w:cs="仿宋_GB2312"/>
          <w:color w:val="auto"/>
          <w:sz w:val="32"/>
          <w:szCs w:val="32"/>
        </w:rPr>
        <w:t>根据《中华人民共和国政府信息公开条例》有关规定，</w:t>
      </w:r>
      <w:r>
        <w:rPr>
          <w:rFonts w:hint="eastAsia" w:ascii="仿宋_GB2312" w:hAnsi="仿宋_GB2312" w:eastAsia="仿宋_GB2312" w:cs="仿宋_GB2312"/>
          <w:color w:val="auto"/>
          <w:sz w:val="32"/>
          <w:szCs w:val="32"/>
          <w:lang w:eastAsia="zh-CN"/>
        </w:rPr>
        <w:t>依据《山西省</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年政务公开工作要点》</w:t>
      </w:r>
      <w:bookmarkStart w:id="0" w:name="_GoBack"/>
      <w:bookmarkEnd w:id="0"/>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highlight w:val="none"/>
          <w:lang w:eastAsia="zh-CN"/>
        </w:rPr>
        <w:t>根据县政府要求，</w:t>
      </w:r>
      <w:r>
        <w:rPr>
          <w:rFonts w:hint="eastAsia" w:ascii="仿宋_GB2312" w:hAnsi="仿宋_GB2312" w:eastAsia="仿宋_GB2312" w:cs="仿宋_GB2312"/>
          <w:color w:val="auto"/>
          <w:sz w:val="32"/>
          <w:szCs w:val="32"/>
          <w:highlight w:val="none"/>
        </w:rPr>
        <w:t>现</w:t>
      </w:r>
      <w:r>
        <w:rPr>
          <w:rFonts w:hint="eastAsia" w:ascii="仿宋_GB2312" w:hAnsi="仿宋_GB2312" w:eastAsia="仿宋_GB2312" w:cs="仿宋_GB2312"/>
          <w:color w:val="auto"/>
          <w:sz w:val="32"/>
          <w:szCs w:val="32"/>
          <w:highlight w:val="none"/>
          <w:lang w:eastAsia="zh-CN"/>
        </w:rPr>
        <w:t>将庙前镇</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政府</w:t>
      </w:r>
      <w:r>
        <w:rPr>
          <w:rFonts w:hint="eastAsia" w:ascii="仿宋_GB2312" w:hAnsi="仿宋_GB2312" w:eastAsia="仿宋_GB2312" w:cs="仿宋_GB2312"/>
          <w:color w:val="auto"/>
          <w:sz w:val="32"/>
          <w:szCs w:val="32"/>
          <w:highlight w:val="none"/>
        </w:rPr>
        <w:t>信息公开工作</w:t>
      </w:r>
      <w:r>
        <w:rPr>
          <w:rFonts w:hint="eastAsia" w:ascii="仿宋_GB2312" w:hAnsi="仿宋_GB2312" w:eastAsia="仿宋_GB2312" w:cs="仿宋_GB2312"/>
          <w:color w:val="auto"/>
          <w:sz w:val="32"/>
          <w:szCs w:val="32"/>
          <w:highlight w:val="none"/>
          <w:lang w:eastAsia="zh-CN"/>
        </w:rPr>
        <w:t>汇报如下：</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color w:val="auto"/>
          <w:kern w:val="0"/>
          <w:sz w:val="32"/>
          <w:szCs w:val="32"/>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（一）主动公开政府信息情况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根据县政府办公室要求，更新庙前镇班子成员、机构设置、部门职责、联系方式等信息，上传庙前镇人民政府工作报告、十四五规划和部门决算、部门预算等重要文件。及时主动发布党政重大活动、政务动态、服务信息、宣传文化、民生实事等信息。</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（二）依申请公开政府信息情况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2021年，镇政府意见箱未收到任何形式的申请公开信息要求，未接到关于不予公开政府信息的电话咨询。自推行政府信息公开以来，我镇政府信息公开没有收取任何费用。</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（三）政府信息管理情况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镇以“公开为原则，不公开为例外”，除涉及国家秘密和依法受到保护的商业秘密、个人隐私之外的信息外，如实及时公开。一是及时发布和更新机构职能、规范性文件、服务事项、发展规划、重点建设、财政审批、人事管理、民生改善、公共安全等方面的政府信息。二是属于主动公开范围的政府信息，在该政府信息形成或者变更之日起20个工作日内予以公开。三是属于依申请公开范围的，能当场答复的当场答复，不能当场答复的一般在收到申请之日起15个工作日内予以答复。</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为进一步完善政务公开平台建设以及更好地配合政府门户网站的建设，按照要求梳理出庙前镇政务公开事项标准目录，做好政务信息公开内容的健全工作，并针对公开项目的不同情况，确定公开时间。</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（五）监督保障情况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镇认真贯彻落实《中华人民共和国政府信息公开条例》，组建领导小组，不定期对全镇政务公开重点工作进行督察，如发现问题立即整改。对需要公开的信息进行严格审核，确保我镇政府信息公开工作高质量开展。</w:t>
      </w:r>
    </w:p>
    <w:p>
      <w:pPr>
        <w:pStyle w:val="2"/>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二、主动公开</w:t>
      </w:r>
      <w:r>
        <w:rPr>
          <w:rFonts w:hint="eastAsia" w:ascii="黑体" w:hAnsi="黑体" w:eastAsia="黑体" w:cs="黑体"/>
          <w:sz w:val="32"/>
          <w:szCs w:val="32"/>
          <w:lang w:eastAsia="zh-CN"/>
        </w:rPr>
        <w:t>政府</w:t>
      </w:r>
      <w:r>
        <w:rPr>
          <w:rFonts w:hint="eastAsia" w:ascii="黑体" w:hAnsi="黑体" w:eastAsia="黑体" w:cs="黑体"/>
          <w:sz w:val="32"/>
          <w:szCs w:val="32"/>
        </w:rPr>
        <w:t>信息情况</w:t>
      </w:r>
    </w:p>
    <w:tbl>
      <w:tblPr>
        <w:tblStyle w:val="3"/>
        <w:tblW w:w="9060" w:type="dxa"/>
        <w:jc w:val="center"/>
        <w:tblLayout w:type="fixed"/>
        <w:tblCellMar>
          <w:top w:w="0" w:type="dxa"/>
          <w:left w:w="0" w:type="dxa"/>
          <w:bottom w:w="0" w:type="dxa"/>
          <w:right w:w="0" w:type="dxa"/>
        </w:tblCellMar>
      </w:tblPr>
      <w:tblGrid>
        <w:gridCol w:w="2677"/>
        <w:gridCol w:w="2875"/>
        <w:gridCol w:w="1414"/>
        <w:gridCol w:w="2094"/>
      </w:tblGrid>
      <w:tr>
        <w:tblPrEx>
          <w:tblCellMar>
            <w:top w:w="0" w:type="dxa"/>
            <w:left w:w="0" w:type="dxa"/>
            <w:bottom w:w="0" w:type="dxa"/>
            <w:right w:w="0" w:type="dxa"/>
          </w:tblCellMar>
        </w:tblPrEx>
        <w:trPr>
          <w:trHeight w:val="90" w:hRule="atLeast"/>
          <w:jc w:val="center"/>
        </w:trPr>
        <w:tc>
          <w:tcPr>
            <w:tcW w:w="906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9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信息内容</w:t>
            </w:r>
          </w:p>
        </w:tc>
        <w:tc>
          <w:tcPr>
            <w:tcW w:w="2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本年</w:t>
            </w:r>
          </w:p>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宋体"/>
                <w:lang w:eastAsia="zh-CN"/>
              </w:rPr>
            </w:pPr>
            <w:r>
              <w:rPr>
                <w:rFonts w:ascii="Calibri" w:hAnsi="Calibri" w:eastAsia="宋体" w:cs="Times New Roman"/>
                <w:kern w:val="0"/>
                <w:sz w:val="20"/>
                <w:szCs w:val="20"/>
              </w:rPr>
              <w:t>制作</w:t>
            </w:r>
            <w:r>
              <w:rPr>
                <w:rFonts w:hint="eastAsia" w:ascii="Calibri" w:hAnsi="Calibri" w:eastAsia="宋体" w:cs="Times New Roman"/>
                <w:kern w:val="0"/>
                <w:sz w:val="20"/>
                <w:szCs w:val="20"/>
                <w:lang w:eastAsia="zh-CN"/>
              </w:rPr>
              <w:t>件数</w:t>
            </w:r>
          </w:p>
        </w:tc>
        <w:tc>
          <w:tcPr>
            <w:tcW w:w="14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本年</w:t>
            </w:r>
            <w:r>
              <w:rPr>
                <w:rFonts w:hint="eastAsia" w:ascii="宋体" w:hAnsi="宋体" w:eastAsia="宋体" w:cs="宋体"/>
                <w:color w:val="000000"/>
                <w:kern w:val="0"/>
                <w:sz w:val="20"/>
                <w:szCs w:val="20"/>
                <w:lang w:eastAsia="zh-CN"/>
              </w:rPr>
              <w:t>废止</w:t>
            </w:r>
          </w:p>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ascii="Calibri" w:hAnsi="Calibri" w:eastAsia="宋体" w:cs="Times New Roman"/>
                <w:kern w:val="0"/>
                <w:sz w:val="20"/>
                <w:szCs w:val="20"/>
              </w:rPr>
              <w:t>数量</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Theme="minorEastAsia"/>
                <w:lang w:eastAsia="zh-CN"/>
              </w:rPr>
            </w:pPr>
            <w:r>
              <w:rPr>
                <w:rFonts w:hint="eastAsia" w:ascii="宋体" w:hAnsi="宋体" w:eastAsia="宋体" w:cs="宋体"/>
                <w:color w:val="000000"/>
                <w:kern w:val="0"/>
                <w:sz w:val="20"/>
                <w:szCs w:val="20"/>
                <w:lang w:eastAsia="zh-CN"/>
              </w:rPr>
              <w:t>现行有效件数</w:t>
            </w:r>
          </w:p>
        </w:tc>
      </w:tr>
      <w:tr>
        <w:tblPrEx>
          <w:tblCellMar>
            <w:top w:w="0" w:type="dxa"/>
            <w:left w:w="0" w:type="dxa"/>
            <w:bottom w:w="0" w:type="dxa"/>
            <w:right w:w="0" w:type="dxa"/>
          </w:tblCellMar>
        </w:tblPrEx>
        <w:trPr>
          <w:trHeight w:val="637"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pPr>
            <w:r>
              <w:rPr>
                <w:rFonts w:hint="eastAsia" w:ascii="宋体" w:hAnsi="宋体" w:eastAsia="宋体" w:cs="宋体"/>
                <w:color w:val="000000"/>
                <w:kern w:val="0"/>
                <w:sz w:val="20"/>
                <w:szCs w:val="20"/>
              </w:rPr>
              <w:t>规章</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47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pPr>
            <w:r>
              <w:rPr>
                <w:rFonts w:hint="eastAsia" w:ascii="宋体" w:hAnsi="宋体" w:eastAsia="宋体" w:cs="宋体"/>
                <w:color w:val="000000"/>
                <w:kern w:val="0"/>
                <w:sz w:val="20"/>
                <w:szCs w:val="20"/>
                <w:lang w:eastAsia="zh-CN"/>
              </w:rPr>
              <w:t>行政</w:t>
            </w:r>
            <w:r>
              <w:rPr>
                <w:rFonts w:hint="eastAsia" w:ascii="宋体" w:hAnsi="宋体" w:eastAsia="宋体" w:cs="宋体"/>
                <w:color w:val="000000"/>
                <w:kern w:val="0"/>
                <w:sz w:val="20"/>
                <w:szCs w:val="20"/>
              </w:rPr>
              <w:t>规范性文件</w:t>
            </w:r>
          </w:p>
        </w:tc>
        <w:tc>
          <w:tcPr>
            <w:tcW w:w="2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c>
          <w:tcPr>
            <w:tcW w:w="141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c>
          <w:tcPr>
            <w:tcW w:w="209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480"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1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lang w:eastAsia="zh-CN"/>
              </w:rPr>
              <w:t>本年</w:t>
            </w: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pPr>
            <w:r>
              <w:rPr>
                <w:rFonts w:hint="eastAsia" w:ascii="宋体" w:hAnsi="宋体" w:eastAsia="宋体" w:cs="宋体"/>
                <w:color w:val="000000"/>
                <w:kern w:val="0"/>
                <w:sz w:val="20"/>
                <w:szCs w:val="20"/>
              </w:rPr>
              <w:t>行政许可</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r>
      <w:tr>
        <w:tblPrEx>
          <w:tblCellMar>
            <w:top w:w="0" w:type="dxa"/>
            <w:left w:w="0" w:type="dxa"/>
            <w:bottom w:w="0" w:type="dxa"/>
            <w:right w:w="0" w:type="dxa"/>
          </w:tblCellMar>
        </w:tblPrEx>
        <w:trPr>
          <w:trHeight w:val="406"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信息内容</w:t>
            </w:r>
          </w:p>
        </w:tc>
        <w:tc>
          <w:tcPr>
            <w:tcW w:w="6383" w:type="dxa"/>
            <w:gridSpan w:val="3"/>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lang w:eastAsia="zh-CN"/>
              </w:rPr>
              <w:t>本年</w:t>
            </w: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54"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pPr>
            <w:r>
              <w:rPr>
                <w:rFonts w:hint="eastAsia" w:ascii="宋体" w:hAnsi="宋体" w:eastAsia="宋体" w:cs="宋体"/>
                <w:color w:val="000000"/>
                <w:kern w:val="0"/>
                <w:sz w:val="20"/>
                <w:szCs w:val="20"/>
              </w:rPr>
              <w:t>行政处罚</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pPr>
            <w:r>
              <w:rPr>
                <w:rFonts w:hint="eastAsia" w:ascii="宋体" w:hAnsi="宋体" w:eastAsia="宋体" w:cs="宋体"/>
                <w:color w:val="000000"/>
                <w:kern w:val="0"/>
                <w:sz w:val="20"/>
                <w:szCs w:val="20"/>
              </w:rPr>
              <w:t>行政强制</w:t>
            </w:r>
          </w:p>
        </w:tc>
        <w:tc>
          <w:tcPr>
            <w:tcW w:w="6383"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0"/>
                <w:szCs w:val="20"/>
                <w:lang w:val="en-US" w:eastAsia="zh-CN"/>
              </w:rPr>
            </w:pPr>
            <w:r>
              <w:rPr>
                <w:rFonts w:hint="eastAsia" w:ascii="宋体" w:hAnsi="宋体" w:eastAsia="宋体" w:cs="宋体"/>
                <w:b/>
                <w:bCs/>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6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pPr>
            <w:r>
              <w:rPr>
                <w:rFonts w:hint="eastAsia" w:ascii="宋体" w:hAnsi="宋体" w:eastAsia="宋体" w:cs="宋体"/>
                <w:color w:val="000000"/>
                <w:kern w:val="0"/>
                <w:sz w:val="20"/>
                <w:szCs w:val="20"/>
              </w:rPr>
              <w:t>信息内容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eastAsia" w:eastAsiaTheme="minorEastAsia"/>
                <w:lang w:eastAsia="zh-CN"/>
              </w:rPr>
            </w:pPr>
            <w:r>
              <w:rPr>
                <w:rFonts w:hint="eastAsia"/>
                <w:lang w:eastAsia="zh-CN"/>
              </w:rPr>
              <w:t>本年收费金额（单位：万元）</w:t>
            </w:r>
          </w:p>
        </w:tc>
      </w:tr>
      <w:tr>
        <w:tblPrEx>
          <w:tblCellMar>
            <w:top w:w="0" w:type="dxa"/>
            <w:left w:w="0" w:type="dxa"/>
            <w:bottom w:w="0" w:type="dxa"/>
            <w:right w:w="0" w:type="dxa"/>
          </w:tblCellMar>
        </w:tblPrEx>
        <w:trPr>
          <w:trHeight w:val="551" w:hRule="atLeast"/>
          <w:jc w:val="center"/>
        </w:trPr>
        <w:tc>
          <w:tcPr>
            <w:tcW w:w="267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left"/>
              <w:textAlignment w:val="auto"/>
            </w:pPr>
            <w:r>
              <w:rPr>
                <w:rFonts w:hint="eastAsia" w:ascii="宋体" w:hAnsi="宋体" w:eastAsia="宋体" w:cs="宋体"/>
                <w:color w:val="000000"/>
                <w:kern w:val="0"/>
                <w:sz w:val="20"/>
                <w:szCs w:val="20"/>
              </w:rPr>
              <w:t>行政事业性收费</w:t>
            </w:r>
          </w:p>
        </w:tc>
        <w:tc>
          <w:tcPr>
            <w:tcW w:w="6383" w:type="dxa"/>
            <w:gridSpan w:val="3"/>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40" w:lineRule="auto"/>
              <w:jc w:val="center"/>
              <w:textAlignment w:val="auto"/>
              <w:rPr>
                <w:rFonts w:hint="default" w:eastAsia="宋体"/>
                <w:lang w:val="en-US" w:eastAsia="zh-CN"/>
              </w:rPr>
            </w:pPr>
            <w:r>
              <w:rPr>
                <w:rFonts w:hint="eastAsia" w:eastAsia="宋体"/>
                <w:lang w:val="en-US" w:eastAsia="zh-CN"/>
              </w:rPr>
              <w:t>0</w:t>
            </w:r>
          </w:p>
        </w:tc>
      </w:tr>
    </w:tbl>
    <w:p>
      <w:pPr>
        <w:pStyle w:val="2"/>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8"/>
        <w:gridCol w:w="855"/>
        <w:gridCol w:w="1285"/>
        <w:gridCol w:w="1618"/>
        <w:gridCol w:w="756"/>
        <w:gridCol w:w="756"/>
        <w:gridCol w:w="815"/>
        <w:gridCol w:w="976"/>
        <w:gridCol w:w="713"/>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（本列数据的勾稽关系为：第一项加第二项之和，等于第三项加第四项之和）</w:t>
            </w:r>
          </w:p>
        </w:tc>
        <w:tc>
          <w:tcPr>
            <w:tcW w:w="6313"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自然人</w:t>
            </w:r>
          </w:p>
        </w:tc>
        <w:tc>
          <w:tcPr>
            <w:tcW w:w="4016"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法人或其他组织</w:t>
            </w:r>
          </w:p>
        </w:tc>
        <w:tc>
          <w:tcPr>
            <w:tcW w:w="67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2758" w:type="dxa"/>
            <w:gridSpan w:val="3"/>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商业企业</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科研机构</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社会公益组织</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法律服务机构</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其他</w:t>
            </w:r>
          </w:p>
        </w:tc>
        <w:tc>
          <w:tcPr>
            <w:tcW w:w="679"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宋体" w:hAnsi="宋体" w:eastAsia="宋体" w:cs="宋体"/>
                <w:kern w:val="0"/>
                <w:sz w:val="20"/>
                <w:szCs w:val="20"/>
              </w:rPr>
              <w:t>一、本年新收政府信息公开申请数量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宋体" w:hAnsi="宋体" w:eastAsia="宋体" w:cs="宋体"/>
                <w:kern w:val="0"/>
                <w:sz w:val="20"/>
                <w:szCs w:val="20"/>
              </w:rPr>
              <w:t>二、上年结转政府信息公开申请数量</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三、本年度办理结果</w:t>
            </w: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（一）予以公开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（二）部分公开（区分处理的，只计这一情形，不计其他情形）</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（三）不予公开</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1.属于国家秘密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2.其他法律行政法规禁止公开</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3.危及“三安全一稳定”</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4.保护第三方合法权益</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5.属于三类内部事务信息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6.属于四类过程性信息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7.属于行政执法案卷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8.属于行政查询事项</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（四）无法提供</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1.本机关不掌握相关政府信息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2.没有现成信息需要另行制作</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3.补正后申请内容仍不明确</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（五）不予处理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1.信访举报投诉类申请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2.重复申请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3.要求提供公开出版物</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left"/>
              <w:textAlignment w:val="auto"/>
            </w:pPr>
            <w:r>
              <w:rPr>
                <w:rFonts w:hint="eastAsia" w:ascii="楷体" w:hAnsi="楷体" w:eastAsia="楷体" w:cs="楷体"/>
                <w:kern w:val="0"/>
                <w:sz w:val="20"/>
                <w:szCs w:val="20"/>
              </w:rPr>
              <w:t>4.无正当理由大量反复申请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left"/>
              <w:textAlignment w:val="auto"/>
            </w:pPr>
            <w:r>
              <w:rPr>
                <w:rFonts w:hint="eastAsia" w:ascii="楷体" w:hAnsi="楷体" w:eastAsia="楷体" w:cs="楷体"/>
                <w:kern w:val="0"/>
                <w:sz w:val="20"/>
                <w:szCs w:val="20"/>
              </w:rPr>
              <w:t>5.要求行政机关确认或重新出具已获取信息</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（六）其他处理</w:t>
            </w: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楷体" w:hAnsi="楷体" w:eastAsia="楷体" w:cs="楷体"/>
                <w:kern w:val="0"/>
                <w:sz w:val="20"/>
                <w:szCs w:val="20"/>
                <w:lang w:val="en-US" w:eastAsia="zh-CN"/>
              </w:rPr>
            </w:pPr>
            <w:r>
              <w:rPr>
                <w:rFonts w:hint="eastAsia" w:ascii="楷体" w:hAnsi="楷体" w:eastAsia="楷体" w:cs="楷体"/>
                <w:kern w:val="0"/>
                <w:sz w:val="20"/>
                <w:szCs w:val="20"/>
                <w:lang w:val="en-US" w:eastAsia="zh-CN"/>
              </w:rPr>
              <w:t>1.申请人无正当理由逾期不补正、行政机关不再处理其政府信息公开申请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p>
        </w:tc>
        <w:tc>
          <w:tcPr>
            <w:tcW w:w="1285" w:type="dxa"/>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180"/>
              <w:jc w:val="left"/>
              <w:textAlignment w:val="auto"/>
              <w:rPr>
                <w:rFonts w:hint="default" w:ascii="楷体" w:hAnsi="楷体" w:eastAsia="楷体" w:cs="楷体"/>
                <w:kern w:val="0"/>
                <w:sz w:val="20"/>
                <w:szCs w:val="20"/>
                <w:lang w:val="en-US" w:eastAsia="zh-CN"/>
              </w:rPr>
            </w:pPr>
            <w:r>
              <w:rPr>
                <w:rFonts w:hint="eastAsia" w:ascii="楷体" w:hAnsi="楷体" w:eastAsia="楷体" w:cs="楷体"/>
                <w:kern w:val="0"/>
                <w:sz w:val="20"/>
                <w:szCs w:val="20"/>
                <w:lang w:val="en-US" w:eastAsia="zh-CN"/>
              </w:rPr>
              <w:t>2.申请人逾期未按收费通知要求缴纳费用、行政机关不再处理其政府信息公开申请</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855"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p>
        </w:tc>
        <w:tc>
          <w:tcPr>
            <w:tcW w:w="128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rPr>
                <w:rFonts w:hint="default" w:ascii="楷体" w:hAnsi="楷体" w:eastAsia="楷体" w:cs="楷体"/>
                <w:kern w:val="0"/>
                <w:sz w:val="20"/>
                <w:szCs w:val="20"/>
                <w:lang w:val="en-US" w:eastAsia="zh-CN"/>
              </w:rPr>
            </w:pPr>
            <w:r>
              <w:rPr>
                <w:rFonts w:hint="eastAsia" w:ascii="楷体" w:hAnsi="楷体" w:eastAsia="楷体" w:cs="楷体"/>
                <w:kern w:val="0"/>
                <w:sz w:val="20"/>
                <w:szCs w:val="20"/>
                <w:lang w:val="en-US" w:eastAsia="zh-CN"/>
              </w:rPr>
              <w:t>3.其他</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2140"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楷体" w:hAnsi="楷体" w:eastAsia="楷体" w:cs="楷体"/>
                <w:kern w:val="0"/>
                <w:sz w:val="20"/>
                <w:szCs w:val="20"/>
              </w:rPr>
              <w:t>（七）总计</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758"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left"/>
              <w:textAlignment w:val="auto"/>
            </w:pPr>
            <w:r>
              <w:rPr>
                <w:rFonts w:hint="eastAsia" w:ascii="宋体" w:hAnsi="宋体" w:eastAsia="宋体" w:cs="宋体"/>
                <w:kern w:val="0"/>
                <w:sz w:val="20"/>
                <w:szCs w:val="20"/>
              </w:rPr>
              <w:t>四、结转下年度继续办理</w:t>
            </w:r>
          </w:p>
        </w:tc>
        <w:tc>
          <w:tcPr>
            <w:tcW w:w="161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5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815"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97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71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79" w:type="dxa"/>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bl>
    <w:p>
      <w:pPr>
        <w:pStyle w:val="2"/>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textAlignment w:val="auto"/>
              <w:rPr>
                <w:rFonts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eastAsia" w:eastAsiaTheme="minorEastAsia"/>
                <w:lang w:val="en-US" w:eastAsia="zh-CN"/>
              </w:rPr>
            </w:pPr>
            <w:r>
              <w:rPr>
                <w:rFonts w:hint="eastAsia"/>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jc w:val="center"/>
              <w:textAlignment w:val="auto"/>
              <w:rPr>
                <w:rFonts w:hint="default" w:eastAsia="宋体"/>
                <w:lang w:val="en-US" w:eastAsia="zh-CN"/>
              </w:rPr>
            </w:pPr>
            <w:r>
              <w:rPr>
                <w:rFonts w:hint="eastAsia" w:eastAsia="宋体"/>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eastAsia="宋体"/>
                <w:sz w:val="24"/>
                <w:szCs w:val="24"/>
                <w:lang w:val="en-US" w:eastAsia="zh-CN"/>
              </w:rPr>
            </w:pPr>
            <w:r>
              <w:rPr>
                <w:rFonts w:hint="eastAsia" w:ascii="宋体" w:eastAsia="宋体"/>
                <w:sz w:val="24"/>
                <w:szCs w:val="24"/>
                <w:lang w:val="en-US" w:eastAsia="zh-CN"/>
              </w:rPr>
              <w:t>0</w:t>
            </w:r>
          </w:p>
        </w:tc>
      </w:tr>
    </w:tbl>
    <w:p>
      <w:pPr>
        <w:ind w:firstLine="640" w:firstLineChars="200"/>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五、存在问题和下步打算</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我镇政府信息公开更加规范，公开力度持续增强，但也存在一些问题和不足。主要问题有：一是依法公开、主动公开意识有待进一步加强；二是政府信息主动公开的深度还有待进一步拓展；三是政府信息公开渠道还有待进一步完善。针对困难和问题，今后，我镇将继续严格按照信息公开的各项要求和目标，依托县政府信息公开资源库，建立并不断健全行政权力公开透明运行系统，继续大力推进全镇政府信息公开工作，具体做好以下三方面工作：一是提高认识，加强培训，加深党员干部对信息公开工作的认识，进一步提高政府信息公开工作水平；二是规范流程，建章立制，进一步梳理各项行政权力，努力构建政府信息公开的长效机制，定期维护，确保工作有效运作；三是补充完善，创新途径，及时更新完善原有政务信息，扩大公开内容，不断创新公开形，提高服务水平；四是强化管理，服务公众，继续重点推进群众利益相关的信息公开，保障信息通畅，方便群众网上查阅。</w:t>
      </w:r>
    </w:p>
    <w:p>
      <w:pPr>
        <w:numPr>
          <w:ilvl w:val="0"/>
          <w:numId w:val="0"/>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color w:val="auto"/>
          <w:kern w:val="0"/>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color w:val="auto"/>
          <w:sz w:val="32"/>
          <w:szCs w:val="32"/>
          <w:lang w:val="en-US" w:eastAsia="zh-CN"/>
        </w:rPr>
        <w:t>无</w:t>
      </w:r>
    </w:p>
    <w:p>
      <w:pPr>
        <w:rPr>
          <w:rFonts w:hint="eastAsia" w:ascii="仿宋" w:hAnsi="仿宋" w:eastAsia="仿宋" w:cs="仿宋"/>
          <w:sz w:val="32"/>
          <w:szCs w:val="32"/>
        </w:rPr>
      </w:pPr>
    </w:p>
    <w:sectPr>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C768A"/>
    <w:rsid w:val="00CB63A5"/>
    <w:rsid w:val="02CC4BD0"/>
    <w:rsid w:val="0B740FED"/>
    <w:rsid w:val="0DF84D28"/>
    <w:rsid w:val="122E01D0"/>
    <w:rsid w:val="1EA97FA0"/>
    <w:rsid w:val="1F455936"/>
    <w:rsid w:val="273972FB"/>
    <w:rsid w:val="2D474C94"/>
    <w:rsid w:val="2E395D5A"/>
    <w:rsid w:val="2F0E5E2B"/>
    <w:rsid w:val="31521956"/>
    <w:rsid w:val="3A8D2FEF"/>
    <w:rsid w:val="3E587B46"/>
    <w:rsid w:val="453C768A"/>
    <w:rsid w:val="46B85445"/>
    <w:rsid w:val="4A47192B"/>
    <w:rsid w:val="501C379E"/>
    <w:rsid w:val="59BA0DDC"/>
    <w:rsid w:val="5DE8711C"/>
    <w:rsid w:val="5EF5295F"/>
    <w:rsid w:val="63424F68"/>
    <w:rsid w:val="65784373"/>
    <w:rsid w:val="6AF921BA"/>
    <w:rsid w:val="725126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qFormat/>
    <w:uiPriority w:val="0"/>
  </w:style>
  <w:style w:type="character" w:styleId="10">
    <w:name w:val="HTML Variable"/>
    <w:basedOn w:val="4"/>
    <w:uiPriority w:val="0"/>
  </w:style>
  <w:style w:type="character" w:styleId="11">
    <w:name w:val="Hyperlink"/>
    <w:basedOn w:val="4"/>
    <w:qFormat/>
    <w:uiPriority w:val="0"/>
    <w:rPr>
      <w:color w:val="0000FF"/>
      <w:u w:val="none"/>
    </w:rPr>
  </w:style>
  <w:style w:type="character" w:styleId="12">
    <w:name w:val="HTML Code"/>
    <w:basedOn w:val="4"/>
    <w:qFormat/>
    <w:uiPriority w:val="0"/>
    <w:rPr>
      <w:rFonts w:hint="eastAsia" w:ascii="微软雅黑" w:hAnsi="微软雅黑" w:eastAsia="微软雅黑" w:cs="微软雅黑"/>
      <w:sz w:val="20"/>
    </w:rPr>
  </w:style>
  <w:style w:type="character" w:styleId="13">
    <w:name w:val="HTML Cite"/>
    <w:basedOn w:val="4"/>
    <w:qFormat/>
    <w:uiPriority w:val="0"/>
  </w:style>
  <w:style w:type="character" w:customStyle="1" w:styleId="14">
    <w:name w:val="pagebox_first_nolink"/>
    <w:basedOn w:val="4"/>
    <w:qFormat/>
    <w:uiPriority w:val="0"/>
    <w:rPr>
      <w:color w:val="999999"/>
      <w:bdr w:val="single" w:color="DDDDDD" w:sz="6" w:space="0"/>
    </w:rPr>
  </w:style>
  <w:style w:type="character" w:customStyle="1" w:styleId="15">
    <w:name w:val="pagebox_num_nonce"/>
    <w:basedOn w:val="4"/>
    <w:qFormat/>
    <w:uiPriority w:val="0"/>
    <w:rPr>
      <w:b/>
      <w:color w:val="FFFFFF"/>
      <w:shd w:val="clear" w:fill="296CB3"/>
    </w:rPr>
  </w:style>
  <w:style w:type="character" w:customStyle="1" w:styleId="16">
    <w:name w:val="pagebox_prev_nolink"/>
    <w:basedOn w:val="4"/>
    <w:qFormat/>
    <w:uiPriority w:val="0"/>
    <w:rPr>
      <w:color w:val="999999"/>
      <w:bdr w:val="single" w:color="DDDDDD" w:sz="6" w:space="0"/>
    </w:rPr>
  </w:style>
  <w:style w:type="character" w:customStyle="1" w:styleId="17">
    <w:name w:val="pagebox_num_ellipsis"/>
    <w:basedOn w:val="4"/>
    <w:qFormat/>
    <w:uiPriority w:val="0"/>
    <w:rPr>
      <w:color w:val="393733"/>
    </w:rPr>
  </w:style>
  <w:style w:type="character" w:customStyle="1" w:styleId="18">
    <w:name w:val="pagebox_next_nolink"/>
    <w:basedOn w:val="4"/>
    <w:qFormat/>
    <w:uiPriority w:val="0"/>
    <w:rPr>
      <w:color w:val="999999"/>
      <w:bdr w:val="single" w:color="DDDDDD" w:sz="6" w:space="0"/>
    </w:rPr>
  </w:style>
  <w:style w:type="character" w:customStyle="1" w:styleId="19">
    <w:name w:val="pagebox_last_nolink"/>
    <w:basedOn w:val="4"/>
    <w:qFormat/>
    <w:uiPriority w:val="0"/>
    <w:rPr>
      <w:color w:val="999999"/>
      <w:bdr w:val="single" w:color="DDDDDD" w:sz="6" w:space="0"/>
    </w:rPr>
  </w:style>
  <w:style w:type="character" w:customStyle="1" w:styleId="20">
    <w:name w:val="icon-e"/>
    <w:basedOn w:val="4"/>
    <w:qFormat/>
    <w:uiPriority w:val="0"/>
  </w:style>
  <w:style w:type="character" w:customStyle="1" w:styleId="21">
    <w:name w:val="icon-b"/>
    <w:basedOn w:val="4"/>
    <w:qFormat/>
    <w:uiPriority w:val="0"/>
  </w:style>
  <w:style w:type="character" w:customStyle="1" w:styleId="22">
    <w:name w:val="icon-d"/>
    <w:basedOn w:val="4"/>
    <w:qFormat/>
    <w:uiPriority w:val="0"/>
  </w:style>
  <w:style w:type="character" w:customStyle="1" w:styleId="23">
    <w:name w:val="icon-c"/>
    <w:basedOn w:val="4"/>
    <w:qFormat/>
    <w:uiPriority w:val="0"/>
  </w:style>
  <w:style w:type="character" w:customStyle="1" w:styleId="24">
    <w:name w:val="icon"/>
    <w:basedOn w:val="4"/>
    <w:qFormat/>
    <w:uiPriority w:val="0"/>
  </w:style>
  <w:style w:type="character" w:customStyle="1" w:styleId="25">
    <w:name w:val="text28"/>
    <w:basedOn w:val="4"/>
    <w:qFormat/>
    <w:uiPriority w:val="0"/>
  </w:style>
  <w:style w:type="character" w:customStyle="1" w:styleId="26">
    <w:name w:val="dot"/>
    <w:basedOn w:val="4"/>
    <w:qFormat/>
    <w:uiPriority w:val="0"/>
  </w:style>
  <w:style w:type="character" w:customStyle="1" w:styleId="27">
    <w:name w:val="dot1"/>
    <w:basedOn w:val="4"/>
    <w:qFormat/>
    <w:uiPriority w:val="0"/>
  </w:style>
  <w:style w:type="character" w:customStyle="1" w:styleId="28">
    <w:name w:val="vote-num-percent"/>
    <w:basedOn w:val="4"/>
    <w:qFormat/>
    <w:uiPriority w:val="0"/>
    <w:rPr>
      <w:color w:val="888888"/>
    </w:rPr>
  </w:style>
  <w:style w:type="character" w:customStyle="1" w:styleId="29">
    <w:name w:val="verifycode"/>
    <w:basedOn w:val="4"/>
    <w:qFormat/>
    <w:uiPriority w:val="0"/>
    <w:rPr>
      <w:color w:val="333333"/>
    </w:rPr>
  </w:style>
  <w:style w:type="character" w:customStyle="1" w:styleId="30">
    <w:name w:val="num"/>
    <w:basedOn w:val="4"/>
    <w:qFormat/>
    <w:uiPriority w:val="0"/>
  </w:style>
  <w:style w:type="character" w:customStyle="1" w:styleId="31">
    <w:name w:val="yellow"/>
    <w:basedOn w:val="4"/>
    <w:qFormat/>
    <w:uiPriority w:val="0"/>
    <w:rPr>
      <w:color w:val="F4AB0D"/>
    </w:rPr>
  </w:style>
  <w:style w:type="character" w:customStyle="1" w:styleId="32">
    <w:name w:val="data"/>
    <w:basedOn w:val="4"/>
    <w:qFormat/>
    <w:uiPriority w:val="0"/>
  </w:style>
  <w:style w:type="character" w:customStyle="1" w:styleId="33">
    <w:name w:val="data1"/>
    <w:basedOn w:val="4"/>
    <w:uiPriority w:val="0"/>
  </w:style>
  <w:style w:type="character" w:customStyle="1" w:styleId="34">
    <w:name w:val="time"/>
    <w:basedOn w:val="4"/>
    <w:qFormat/>
    <w:uiPriority w:val="0"/>
  </w:style>
  <w:style w:type="character" w:customStyle="1" w:styleId="35">
    <w:name w:val="tip4"/>
    <w:basedOn w:val="4"/>
    <w:qFormat/>
    <w:uiPriority w:val="0"/>
  </w:style>
  <w:style w:type="character" w:customStyle="1" w:styleId="36">
    <w:name w:val="layui-layer-tabnow"/>
    <w:basedOn w:val="4"/>
    <w:qFormat/>
    <w:uiPriority w:val="0"/>
    <w:rPr>
      <w:bdr w:val="single" w:color="CCCCCC" w:sz="6" w:space="0"/>
      <w:shd w:val="clear" w:fill="FFFFFF"/>
    </w:rPr>
  </w:style>
  <w:style w:type="character" w:customStyle="1" w:styleId="37">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2019-08-21T07:55:00Z</dcterms:created>
  <dc:creator>Administrator</dc:creator>
  <cp:lastModifiedBy>MONSTER</cp:lastModifiedBy>
  <dcterms:modified xsi:type="dcterms:W3CDTF">2022-01-29T00:39:40Z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E2087D49FD2445B9B6CBE8FCD0398541</vt:lpwstr>
  </property>
</Properties>
</file>