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val="0"/>
        <w:snapToGrid w:val="0"/>
        <w:spacing w:before="0" w:beforeLines="0" w:after="0" w:afterLines="0" w:line="288" w:lineRule="auto"/>
        <w:ind w:firstLine="4160" w:firstLineChars="1300"/>
        <w:jc w:val="both"/>
        <w:textAlignment w:val="auto"/>
        <w:rPr>
          <w:rFonts w:hint="eastAsia" w:ascii="方正小标宋_GBK" w:hAnsi="方正小标宋_GBK" w:eastAsia="方正小标宋_GBK"/>
          <w:b w:val="0"/>
          <w:bCs w:val="0"/>
          <w:sz w:val="32"/>
          <w:szCs w:val="48"/>
        </w:rPr>
      </w:pPr>
      <w:bookmarkStart w:id="1" w:name="_GoBack"/>
      <w:bookmarkEnd w:id="1"/>
      <w:bookmarkStart w:id="0" w:name="_Toc24724726"/>
      <w:r>
        <w:rPr>
          <w:rFonts w:hint="eastAsia" w:ascii="方正小标宋_GBK" w:hAnsi="方正小标宋_GBK" w:eastAsia="方正小标宋_GBK"/>
          <w:b w:val="0"/>
          <w:bCs w:val="0"/>
          <w:sz w:val="32"/>
          <w:szCs w:val="48"/>
          <w:lang w:val="en-US" w:eastAsia="zh-CN"/>
        </w:rPr>
        <w:t>夏</w:t>
      </w:r>
      <w:r>
        <w:rPr>
          <w:rFonts w:hint="eastAsia" w:ascii="方正小标宋_GBK" w:hAnsi="方正小标宋_GBK" w:eastAsia="方正小标宋_GBK"/>
          <w:b w:val="0"/>
          <w:bCs w:val="0"/>
          <w:sz w:val="32"/>
          <w:szCs w:val="48"/>
          <w:lang w:eastAsia="zh-CN"/>
        </w:rPr>
        <w:t>县</w:t>
      </w:r>
      <w:r>
        <w:rPr>
          <w:rFonts w:hint="eastAsia" w:ascii="方正小标宋_GBK" w:hAnsi="方正小标宋_GBK" w:eastAsia="方正小标宋_GBK"/>
          <w:b w:val="0"/>
          <w:bCs w:val="0"/>
          <w:sz w:val="32"/>
          <w:szCs w:val="48"/>
        </w:rPr>
        <w:t>救灾生产领域基层政务公开标准目录</w:t>
      </w:r>
      <w:bookmarkEnd w:id="0"/>
    </w:p>
    <w:tbl>
      <w:tblPr>
        <w:tblStyle w:val="3"/>
        <w:tblW w:w="15660" w:type="dxa"/>
        <w:tblInd w:w="-844" w:type="dxa"/>
        <w:tblLayout w:type="fixed"/>
        <w:tblCellMar>
          <w:top w:w="0" w:type="dxa"/>
          <w:left w:w="108" w:type="dxa"/>
          <w:bottom w:w="0" w:type="dxa"/>
          <w:right w:w="108" w:type="dxa"/>
        </w:tblCellMar>
      </w:tblPr>
      <w:tblGrid>
        <w:gridCol w:w="488"/>
        <w:gridCol w:w="666"/>
        <w:gridCol w:w="622"/>
        <w:gridCol w:w="3675"/>
        <w:gridCol w:w="1737"/>
        <w:gridCol w:w="2040"/>
        <w:gridCol w:w="830"/>
        <w:gridCol w:w="1704"/>
        <w:gridCol w:w="651"/>
        <w:gridCol w:w="726"/>
        <w:gridCol w:w="597"/>
        <w:gridCol w:w="720"/>
        <w:gridCol w:w="683"/>
        <w:gridCol w:w="521"/>
      </w:tblGrid>
      <w:tr>
        <w:tblPrEx>
          <w:tblCellMar>
            <w:top w:w="0" w:type="dxa"/>
            <w:left w:w="108" w:type="dxa"/>
            <w:bottom w:w="0" w:type="dxa"/>
            <w:right w:w="108" w:type="dxa"/>
          </w:tblCellMar>
        </w:tblPrEx>
        <w:trPr>
          <w:trHeight w:val="420" w:hRule="atLeast"/>
        </w:trPr>
        <w:tc>
          <w:tcPr>
            <w:tcW w:w="488"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_GB2312" w:hAnsi="Times New Roman" w:eastAsia="仿宋_GB2312"/>
                <w:color w:val="000000"/>
                <w:kern w:val="0"/>
                <w:sz w:val="20"/>
                <w:szCs w:val="20"/>
              </w:rPr>
            </w:pPr>
            <w:r>
              <w:rPr>
                <w:rFonts w:hint="eastAsia" w:ascii="黑体" w:hAnsi="宋体" w:eastAsia="黑体" w:cs="宋体"/>
                <w:color w:val="000000"/>
                <w:kern w:val="0"/>
                <w:sz w:val="24"/>
                <w:szCs w:val="24"/>
              </w:rPr>
              <w:t>序号</w:t>
            </w:r>
          </w:p>
        </w:tc>
        <w:tc>
          <w:tcPr>
            <w:tcW w:w="1288"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公开事项</w:t>
            </w:r>
          </w:p>
        </w:tc>
        <w:tc>
          <w:tcPr>
            <w:tcW w:w="367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公开内容（要素）</w:t>
            </w:r>
          </w:p>
        </w:tc>
        <w:tc>
          <w:tcPr>
            <w:tcW w:w="173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公开依据</w:t>
            </w:r>
          </w:p>
        </w:tc>
        <w:tc>
          <w:tcPr>
            <w:tcW w:w="204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公开时限</w:t>
            </w:r>
          </w:p>
        </w:tc>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公开主体</w:t>
            </w:r>
          </w:p>
        </w:tc>
        <w:tc>
          <w:tcPr>
            <w:tcW w:w="170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kern w:val="0"/>
                <w:sz w:val="24"/>
                <w:szCs w:val="24"/>
              </w:rPr>
            </w:pPr>
            <w:r>
              <w:rPr>
                <w:rFonts w:hint="eastAsia" w:ascii="黑体" w:hAnsi="宋体" w:eastAsia="黑体" w:cs="宋体"/>
                <w:kern w:val="0"/>
                <w:sz w:val="24"/>
                <w:szCs w:val="24"/>
              </w:rPr>
              <w:t>公开渠道和载体</w:t>
            </w:r>
          </w:p>
        </w:tc>
        <w:tc>
          <w:tcPr>
            <w:tcW w:w="1377"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公开对象</w:t>
            </w:r>
          </w:p>
        </w:tc>
        <w:tc>
          <w:tcPr>
            <w:tcW w:w="1317"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公开层级</w:t>
            </w:r>
          </w:p>
        </w:tc>
      </w:tr>
      <w:tr>
        <w:tblPrEx>
          <w:tblCellMar>
            <w:top w:w="0" w:type="dxa"/>
            <w:left w:w="108" w:type="dxa"/>
            <w:bottom w:w="0" w:type="dxa"/>
            <w:right w:w="108" w:type="dxa"/>
          </w:tblCellMar>
        </w:tblPrEx>
        <w:trPr>
          <w:trHeight w:val="907" w:hRule="atLeast"/>
        </w:trPr>
        <w:tc>
          <w:tcPr>
            <w:tcW w:w="48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_GB2312" w:hAnsi="Times New Roman" w:eastAsia="仿宋_GB2312"/>
                <w:color w:val="000000"/>
                <w:kern w:val="0"/>
                <w:sz w:val="20"/>
                <w:szCs w:val="20"/>
              </w:rPr>
            </w:pPr>
          </w:p>
        </w:tc>
        <w:tc>
          <w:tcPr>
            <w:tcW w:w="66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一级事项</w:t>
            </w:r>
          </w:p>
        </w:tc>
        <w:tc>
          <w:tcPr>
            <w:tcW w:w="62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二级事项</w:t>
            </w:r>
          </w:p>
        </w:tc>
        <w:tc>
          <w:tcPr>
            <w:tcW w:w="367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left"/>
              <w:textAlignment w:val="auto"/>
              <w:rPr>
                <w:rFonts w:hint="eastAsia" w:ascii="黑体" w:hAnsi="宋体" w:eastAsia="黑体" w:cs="宋体"/>
                <w:color w:val="000000"/>
                <w:kern w:val="0"/>
                <w:sz w:val="24"/>
                <w:szCs w:val="24"/>
              </w:rPr>
            </w:pPr>
          </w:p>
        </w:tc>
        <w:tc>
          <w:tcPr>
            <w:tcW w:w="173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left"/>
              <w:textAlignment w:val="auto"/>
              <w:rPr>
                <w:rFonts w:hint="eastAsia" w:ascii="黑体" w:hAnsi="宋体" w:eastAsia="黑体" w:cs="宋体"/>
                <w:color w:val="000000"/>
                <w:kern w:val="0"/>
                <w:sz w:val="24"/>
                <w:szCs w:val="24"/>
              </w:rPr>
            </w:pP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left"/>
              <w:textAlignment w:val="auto"/>
              <w:rPr>
                <w:rFonts w:hint="eastAsia" w:ascii="黑体" w:hAnsi="宋体" w:eastAsia="黑体" w:cs="宋体"/>
                <w:color w:val="000000"/>
                <w:kern w:val="0"/>
                <w:sz w:val="24"/>
                <w:szCs w:val="24"/>
              </w:rPr>
            </w:pPr>
          </w:p>
        </w:tc>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p>
        </w:tc>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both"/>
              <w:textAlignment w:val="auto"/>
              <w:rPr>
                <w:rFonts w:hint="eastAsia" w:ascii="黑体" w:hAnsi="宋体" w:eastAsia="黑体" w:cs="宋体"/>
                <w:kern w:val="0"/>
                <w:sz w:val="24"/>
                <w:szCs w:val="24"/>
              </w:rPr>
            </w:pPr>
          </w:p>
        </w:tc>
        <w:tc>
          <w:tcPr>
            <w:tcW w:w="6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全社会</w:t>
            </w:r>
          </w:p>
        </w:tc>
        <w:tc>
          <w:tcPr>
            <w:tcW w:w="7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特定群众</w:t>
            </w:r>
          </w:p>
        </w:tc>
        <w:tc>
          <w:tcPr>
            <w:tcW w:w="59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主动</w:t>
            </w:r>
          </w:p>
        </w:tc>
        <w:tc>
          <w:tcPr>
            <w:tcW w:w="72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依申请公开</w:t>
            </w:r>
          </w:p>
        </w:tc>
        <w:tc>
          <w:tcPr>
            <w:tcW w:w="68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县级</w:t>
            </w:r>
          </w:p>
        </w:tc>
        <w:tc>
          <w:tcPr>
            <w:tcW w:w="5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88" w:lineRule="auto"/>
              <w:jc w:val="center"/>
              <w:textAlignment w:val="auto"/>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乡、村级</w:t>
            </w:r>
          </w:p>
        </w:tc>
      </w:tr>
      <w:tr>
        <w:tblPrEx>
          <w:tblCellMar>
            <w:top w:w="0" w:type="dxa"/>
            <w:left w:w="108" w:type="dxa"/>
            <w:bottom w:w="0" w:type="dxa"/>
            <w:right w:w="108" w:type="dxa"/>
          </w:tblCellMar>
        </w:tblPrEx>
        <w:trPr>
          <w:trHeight w:val="908"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1</w:t>
            </w:r>
          </w:p>
        </w:tc>
        <w:tc>
          <w:tcPr>
            <w:tcW w:w="666" w:type="dxa"/>
            <w:vMerge w:val="restart"/>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政策</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文件</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法律法规</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与救灾有关的法律、法规</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政务服务中心</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952"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2</w:t>
            </w:r>
          </w:p>
        </w:tc>
        <w:tc>
          <w:tcPr>
            <w:tcW w:w="666"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部门和地方规章</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与救灾有关的部门和地方规章、规范性文件</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政务服务中心</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82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3</w:t>
            </w:r>
          </w:p>
        </w:tc>
        <w:tc>
          <w:tcPr>
            <w:tcW w:w="666"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其他政策文件</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其他可以公开的与救灾有关的政策文件，包括改革方案、发展规划、专项规划、工作计划等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rPr>
            </w:pPr>
            <w:r>
              <w:rPr>
                <w:rFonts w:hint="eastAsia" w:ascii="仿宋_GB2312" w:eastAsia="仿宋_GB2312"/>
                <w:sz w:val="20"/>
                <w:szCs w:val="20"/>
                <w:lang w:eastAsia="zh-CN"/>
              </w:rPr>
              <w:t>■政府网站</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90"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4</w:t>
            </w:r>
          </w:p>
        </w:tc>
        <w:tc>
          <w:tcPr>
            <w:tcW w:w="666" w:type="dxa"/>
            <w:vMerge w:val="continue"/>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标准</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救灾领域有关的国家标准、行业标准、地方标准等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rPr>
            </w:pPr>
            <w:r>
              <w:rPr>
                <w:rFonts w:hint="eastAsia" w:ascii="仿宋_GB2312" w:eastAsia="仿宋_GB2312"/>
                <w:sz w:val="20"/>
                <w:szCs w:val="20"/>
                <w:lang w:eastAsia="zh-CN"/>
              </w:rPr>
              <w:t>■政府网站</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r>
      <w:tr>
        <w:tblPrEx>
          <w:tblCellMar>
            <w:top w:w="0" w:type="dxa"/>
            <w:left w:w="108" w:type="dxa"/>
            <w:bottom w:w="0" w:type="dxa"/>
            <w:right w:w="108" w:type="dxa"/>
          </w:tblCellMar>
        </w:tblPrEx>
        <w:trPr>
          <w:trHeight w:val="1237"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5</w:t>
            </w:r>
          </w:p>
        </w:tc>
        <w:tc>
          <w:tcPr>
            <w:tcW w:w="666" w:type="dxa"/>
            <w:vMerge w:val="restart"/>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政策</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文件</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重大决策草案</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涉及管理相对人切身利益、需社会广泛知晓的重要改革方案等重大决策，决策前向社会公开决策草案、决策依据</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《政府信息公开条例》、《关于全面推进政务公开工作的意见》</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按进展情况及时公开</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61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6</w:t>
            </w:r>
          </w:p>
        </w:tc>
        <w:tc>
          <w:tcPr>
            <w:tcW w:w="666"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重大政策解读及回应</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hint="eastAsia" w:ascii="仿宋_GB2312" w:eastAsia="仿宋_GB2312"/>
                <w:color w:val="000000"/>
                <w:sz w:val="20"/>
                <w:szCs w:val="20"/>
                <w:lang w:eastAsia="zh-CN"/>
              </w:rPr>
            </w:pPr>
            <w:r>
              <w:rPr>
                <w:rFonts w:hint="eastAsia" w:ascii="仿宋_GB2312" w:eastAsia="仿宋_GB2312"/>
                <w:color w:val="000000"/>
                <w:sz w:val="20"/>
                <w:szCs w:val="20"/>
              </w:rPr>
              <w:t>有关重大政策的解读及回应</w:t>
            </w:r>
          </w:p>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相关热点问题的解读及回应</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《政府信息公开条例》、《国务院办公厅关于在政务公开工作中进一步做好政务舆情回应的通知》</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重大决策作出后及时公开</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政务服务中心</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7</w:t>
            </w:r>
          </w:p>
        </w:tc>
        <w:tc>
          <w:tcPr>
            <w:tcW w:w="666" w:type="dxa"/>
            <w:vMerge w:val="continue"/>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重要会议</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以会议讨论作出重要改革方案等重大决策时，经党组研究认为有必要公开讨论决策过程的会议</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《政府信息公开条例》、《关于全面推进政务公开工作的意见》</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提前一周发通知邀请</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便民服务站</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r>
              <w:rPr>
                <w:rFonts w:hint="eastAsia" w:ascii="仿宋_GB2312" w:eastAsia="仿宋_GB2312"/>
                <w:color w:val="000000"/>
                <w:sz w:val="20"/>
                <w:szCs w:val="20"/>
              </w:rPr>
              <w:t>8</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政策</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文件</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征集采纳社会公众意见情况</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重大决策草案公布后征集到的社会公众意见情况、采纳与否情况及理由等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《政府信息公开条例》、《关于全面推进政务公开工作的意见》</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征求意见时对外公布的时限内公开</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9</w:t>
            </w:r>
          </w:p>
        </w:tc>
        <w:tc>
          <w:tcPr>
            <w:tcW w:w="666" w:type="dxa"/>
            <w:vMerge w:val="restart"/>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备灾</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管理</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综合减灾示范社区</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综合减灾示范社区分布情况（其具体位置、创建时间、创建级别等）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《政府信息公开条例》、《社会救助暂行办法》、《国家综合防灾减灾规划（2016-2020年）》</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10</w:t>
            </w:r>
          </w:p>
        </w:tc>
        <w:tc>
          <w:tcPr>
            <w:tcW w:w="666" w:type="dxa"/>
            <w:vMerge w:val="continue"/>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灾害信息员队伍</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县乡两级灾害信息员工作职责和办公电话</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同上</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r>
      <w:tr>
        <w:tblPrEx>
          <w:tblCellMar>
            <w:top w:w="0" w:type="dxa"/>
            <w:left w:w="108" w:type="dxa"/>
            <w:bottom w:w="0" w:type="dxa"/>
            <w:right w:w="108" w:type="dxa"/>
          </w:tblCellMar>
        </w:tblPrEx>
        <w:trPr>
          <w:trHeight w:val="1030"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666" w:type="dxa"/>
            <w:vMerge w:val="continue"/>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预警信息</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气象、地震等单位发布的预警信息</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12</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灾后</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救助</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灾情核定信息</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本行政区域内因自然灾害造成的损失情况（受灾时间、灾害种类、受灾范围、灾害造成的损失等）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《政府信息公开条例》、《自然灾害救助条例》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color w:val="000000"/>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13</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灾后</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救助</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救助审定信息</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自然灾害救助（6类）的救助对象、申报材料、办理程序及时限等</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《政府信息公开条例》、《自然灾害救助条例》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11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14</w:t>
            </w:r>
          </w:p>
        </w:tc>
        <w:tc>
          <w:tcPr>
            <w:tcW w:w="666" w:type="dxa"/>
            <w:vMerge w:val="restart"/>
            <w:tcBorders>
              <w:left w:val="nil"/>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eastAsia="仿宋_GB2312"/>
                <w:sz w:val="20"/>
                <w:szCs w:val="20"/>
              </w:rPr>
            </w:pPr>
            <w:r>
              <w:rPr>
                <w:rFonts w:hint="eastAsia" w:ascii="仿宋_GB2312" w:eastAsia="仿宋_GB2312"/>
                <w:sz w:val="20"/>
                <w:szCs w:val="20"/>
              </w:rPr>
              <w:t>灾害</w:t>
            </w:r>
          </w:p>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救助</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应急管理部门审批</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救助款物通知及划拨情况</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《政府信息公开条例》、《自然灾害救助条例》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2163"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15</w:t>
            </w:r>
          </w:p>
        </w:tc>
        <w:tc>
          <w:tcPr>
            <w:tcW w:w="666" w:type="dxa"/>
            <w:vMerge w:val="continue"/>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因灾过渡期生活救助</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因灾过渡期生活救助标准、过渡期生活救助对象评议结果公示（灾民姓名、受灾情况、拟救助金额、监督举报电话）</w:t>
            </w:r>
            <w:r>
              <w:rPr>
                <w:rFonts w:hint="eastAsia" w:ascii="仿宋_GB2312" w:eastAsia="仿宋_GB2312"/>
                <w:sz w:val="20"/>
                <w:szCs w:val="20"/>
                <w:lang w:eastAsia="zh-CN"/>
              </w:rPr>
              <w:t>；</w:t>
            </w:r>
            <w:r>
              <w:rPr>
                <w:rFonts w:hint="eastAsia" w:ascii="仿宋_GB2312" w:eastAsia="仿宋_GB2312"/>
                <w:sz w:val="20"/>
                <w:szCs w:val="20"/>
              </w:rPr>
              <w:t>过渡期生活救助对象确定（灾民姓名、受灾情况、救助金额、监督举报电话)</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《政府信息公开条例》、《自然灾害救助条例》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539"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16</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eastAsia="仿宋_GB2312"/>
                <w:sz w:val="20"/>
                <w:szCs w:val="20"/>
              </w:rPr>
            </w:pPr>
            <w:r>
              <w:rPr>
                <w:rFonts w:hint="eastAsia" w:ascii="仿宋_GB2312" w:eastAsia="仿宋_GB2312"/>
                <w:sz w:val="20"/>
                <w:szCs w:val="20"/>
              </w:rPr>
              <w:t>灾后</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eastAsia="仿宋_GB2312"/>
                <w:sz w:val="20"/>
                <w:szCs w:val="20"/>
              </w:rPr>
              <w:t>救助</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居民住房恢复重建救助</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hint="eastAsia" w:ascii="仿宋_GB2312" w:eastAsia="仿宋_GB2312"/>
                <w:sz w:val="20"/>
                <w:szCs w:val="20"/>
                <w:lang w:eastAsia="zh-CN"/>
              </w:rPr>
            </w:pPr>
            <w:r>
              <w:rPr>
                <w:rFonts w:hint="eastAsia" w:ascii="仿宋_GB2312" w:eastAsia="仿宋_GB2312"/>
                <w:sz w:val="20"/>
                <w:szCs w:val="20"/>
              </w:rPr>
              <w:t>居民住房恢复重建救助标准（居民因灾倒房、损房恢复重建具体救助标准）</w:t>
            </w:r>
            <w:r>
              <w:rPr>
                <w:rFonts w:hint="eastAsia" w:ascii="仿宋_GB2312" w:eastAsia="仿宋_GB2312"/>
                <w:sz w:val="20"/>
                <w:szCs w:val="20"/>
                <w:lang w:eastAsia="zh-CN"/>
              </w:rPr>
              <w:t>；</w:t>
            </w:r>
          </w:p>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居民住房恢复重建救助对象评议结果公示（公开灾民姓名、受灾情况、拟救助标准、监督举报电话）</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《政府信息公开条例》、《自然灾害救助条例》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color w:val="000000"/>
                <w:sz w:val="20"/>
                <w:szCs w:val="20"/>
              </w:rPr>
            </w:pPr>
            <w:r>
              <w:rPr>
                <w:rFonts w:hint="eastAsia" w:ascii="仿宋_GB2312" w:eastAsia="仿宋_GB2312"/>
                <w:color w:val="000000"/>
                <w:sz w:val="20"/>
                <w:szCs w:val="20"/>
              </w:rPr>
              <w:t>信息形成或变更之日起20个工作日内</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18</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lang w:eastAsia="zh-CN"/>
              </w:rPr>
            </w:pPr>
            <w:r>
              <w:rPr>
                <w:rFonts w:hint="eastAsia" w:ascii="仿宋_GB2312" w:hAnsi="宋体" w:eastAsia="仿宋_GB2312" w:cs="宋体"/>
                <w:color w:val="000000"/>
                <w:sz w:val="20"/>
                <w:szCs w:val="20"/>
                <w:lang w:eastAsia="zh-CN"/>
              </w:rPr>
              <w:t>款物管理</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年度款物使用情况</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年度救灾资金和救灾物资等使用情况</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按进展情况及时公开</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r>
        <w:tblPrEx>
          <w:tblCellMar>
            <w:top w:w="0" w:type="dxa"/>
            <w:left w:w="108" w:type="dxa"/>
            <w:bottom w:w="0" w:type="dxa"/>
            <w:right w:w="108" w:type="dxa"/>
          </w:tblCellMar>
        </w:tblPrEx>
        <w:trPr>
          <w:trHeight w:val="1086" w:hRule="atLeast"/>
        </w:trPr>
        <w:tc>
          <w:tcPr>
            <w:tcW w:w="4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19</w:t>
            </w:r>
          </w:p>
        </w:tc>
        <w:tc>
          <w:tcPr>
            <w:tcW w:w="666" w:type="dxa"/>
            <w:tcBorders>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eastAsia="仿宋_GB2312"/>
                <w:color w:val="000000"/>
                <w:sz w:val="20"/>
                <w:szCs w:val="20"/>
              </w:rPr>
            </w:pPr>
            <w:r>
              <w:rPr>
                <w:rFonts w:hint="eastAsia" w:ascii="仿宋_GB2312" w:eastAsia="仿宋_GB2312"/>
                <w:color w:val="000000"/>
                <w:sz w:val="20"/>
                <w:szCs w:val="20"/>
              </w:rPr>
              <w:t>工作</w:t>
            </w:r>
          </w:p>
          <w:p>
            <w:pPr>
              <w:pageBreakBefore w:val="0"/>
              <w:kinsoku/>
              <w:wordWrap/>
              <w:overflowPunct/>
              <w:topLinePunct w:val="0"/>
              <w:autoSpaceDE/>
              <w:autoSpaceDN/>
              <w:bidi w:val="0"/>
              <w:adjustRightInd w:val="0"/>
              <w:snapToGrid w:val="0"/>
              <w:spacing w:line="288" w:lineRule="auto"/>
              <w:jc w:val="center"/>
              <w:textAlignment w:val="auto"/>
              <w:rPr>
                <w:rFonts w:hint="eastAsia" w:ascii="仿宋_GB2312" w:hAnsi="宋体" w:eastAsia="仿宋_GB2312" w:cs="宋体"/>
                <w:color w:val="000000"/>
                <w:sz w:val="20"/>
                <w:szCs w:val="20"/>
              </w:rPr>
            </w:pPr>
            <w:r>
              <w:rPr>
                <w:rFonts w:hint="eastAsia" w:ascii="仿宋_GB2312" w:eastAsia="仿宋_GB2312"/>
                <w:color w:val="000000"/>
                <w:sz w:val="20"/>
                <w:szCs w:val="20"/>
              </w:rPr>
              <w:t>动态</w:t>
            </w:r>
          </w:p>
        </w:tc>
        <w:tc>
          <w:tcPr>
            <w:tcW w:w="622"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工作信息</w:t>
            </w:r>
          </w:p>
        </w:tc>
        <w:tc>
          <w:tcPr>
            <w:tcW w:w="36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防灾减灾救灾其他相关动态信息</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《政府信息公开条例》</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按进展情况及时公开</w:t>
            </w:r>
          </w:p>
        </w:tc>
        <w:tc>
          <w:tcPr>
            <w:tcW w:w="83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textAlignment w:val="auto"/>
              <w:rPr>
                <w:rFonts w:ascii="仿宋_GB2312" w:hAnsi="宋体" w:eastAsia="仿宋_GB2312" w:cs="宋体"/>
                <w:sz w:val="20"/>
                <w:szCs w:val="20"/>
              </w:rPr>
            </w:pPr>
            <w:r>
              <w:rPr>
                <w:rFonts w:hint="eastAsia" w:ascii="仿宋_GB2312" w:eastAsia="仿宋_GB2312"/>
                <w:sz w:val="20"/>
                <w:szCs w:val="20"/>
              </w:rPr>
              <w:t>应急管理部门</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■政府网站</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两微一端</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广播电视</w:t>
            </w:r>
          </w:p>
          <w:p>
            <w:pPr>
              <w:pageBreakBefore w:val="0"/>
              <w:kinsoku/>
              <w:wordWrap/>
              <w:overflowPunct/>
              <w:topLinePunct w:val="0"/>
              <w:autoSpaceDE/>
              <w:autoSpaceDN/>
              <w:bidi w:val="0"/>
              <w:adjustRightInd w:val="0"/>
              <w:snapToGrid w:val="0"/>
              <w:spacing w:line="288" w:lineRule="auto"/>
              <w:jc w:val="both"/>
              <w:textAlignment w:val="auto"/>
              <w:rPr>
                <w:rFonts w:hint="eastAsia" w:ascii="仿宋_GB2312" w:eastAsia="仿宋_GB2312"/>
                <w:sz w:val="20"/>
                <w:szCs w:val="20"/>
                <w:lang w:eastAsia="zh-CN"/>
              </w:rPr>
            </w:pPr>
            <w:r>
              <w:rPr>
                <w:rFonts w:hint="eastAsia" w:ascii="仿宋_GB2312" w:eastAsia="仿宋_GB2312"/>
                <w:sz w:val="20"/>
                <w:szCs w:val="20"/>
                <w:lang w:eastAsia="zh-CN"/>
              </w:rPr>
              <w:t>□</w:t>
            </w:r>
            <w:r>
              <w:rPr>
                <w:rFonts w:hint="eastAsia" w:ascii="仿宋_GB2312" w:eastAsia="仿宋_GB2312"/>
                <w:sz w:val="20"/>
                <w:szCs w:val="20"/>
              </w:rPr>
              <w:t>纸质媒体</w:t>
            </w:r>
          </w:p>
          <w:p>
            <w:pPr>
              <w:pageBreakBefore w:val="0"/>
              <w:kinsoku/>
              <w:wordWrap/>
              <w:overflowPunct/>
              <w:topLinePunct w:val="0"/>
              <w:autoSpaceDE/>
              <w:autoSpaceDN/>
              <w:bidi w:val="0"/>
              <w:adjustRightInd w:val="0"/>
              <w:snapToGrid w:val="0"/>
              <w:spacing w:line="288" w:lineRule="auto"/>
              <w:jc w:val="both"/>
              <w:textAlignment w:val="auto"/>
              <w:rPr>
                <w:rFonts w:ascii="仿宋_GB2312" w:eastAsia="仿宋_GB2312"/>
                <w:sz w:val="20"/>
                <w:szCs w:val="20"/>
              </w:rPr>
            </w:pPr>
            <w:r>
              <w:rPr>
                <w:rFonts w:hint="eastAsia" w:ascii="仿宋_GB2312" w:eastAsia="仿宋_GB2312"/>
                <w:sz w:val="20"/>
                <w:szCs w:val="20"/>
                <w:lang w:eastAsia="zh-CN"/>
              </w:rPr>
              <w:t>□</w:t>
            </w:r>
            <w:r>
              <w:rPr>
                <w:rFonts w:hint="eastAsia" w:ascii="仿宋_GB2312" w:eastAsia="仿宋_GB2312"/>
                <w:sz w:val="20"/>
                <w:szCs w:val="20"/>
              </w:rPr>
              <w:t>公开查阅点</w:t>
            </w:r>
          </w:p>
        </w:tc>
        <w:tc>
          <w:tcPr>
            <w:tcW w:w="65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597"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72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p>
        </w:tc>
        <w:tc>
          <w:tcPr>
            <w:tcW w:w="683"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c>
          <w:tcPr>
            <w:tcW w:w="521"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88" w:lineRule="auto"/>
              <w:jc w:val="center"/>
              <w:textAlignment w:val="auto"/>
              <w:rPr>
                <w:rFonts w:ascii="仿宋_GB2312" w:hAnsi="宋体" w:eastAsia="仿宋_GB2312" w:cs="宋体"/>
                <w:sz w:val="20"/>
                <w:szCs w:val="20"/>
              </w:rPr>
            </w:pPr>
            <w:r>
              <w:rPr>
                <w:rFonts w:hint="eastAsia" w:ascii="仿宋_GB2312" w:eastAsia="仿宋_GB2312"/>
                <w:sz w:val="20"/>
                <w:szCs w:val="20"/>
              </w:rPr>
              <w:t>√</w:t>
            </w:r>
          </w:p>
        </w:tc>
      </w:tr>
    </w:tbl>
    <w:p>
      <w:pPr>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方正小标宋_GBK"/>
          <w:sz w:val="32"/>
          <w:szCs w:val="32"/>
        </w:rPr>
      </w:pPr>
    </w:p>
    <w:p>
      <w:pPr>
        <w:pageBreakBefore w:val="0"/>
        <w:kinsoku/>
        <w:wordWrap/>
        <w:overflowPunct/>
        <w:topLinePunct w:val="0"/>
        <w:autoSpaceDE/>
        <w:autoSpaceDN/>
        <w:bidi w:val="0"/>
        <w:adjustRightInd w:val="0"/>
        <w:snapToGrid w:val="0"/>
        <w:spacing w:line="288" w:lineRule="auto"/>
        <w:textAlignment w:val="auto"/>
        <w:rPr>
          <w:sz w:val="22"/>
          <w:szCs w:val="24"/>
        </w:rPr>
      </w:pPr>
    </w:p>
    <w:sectPr>
      <w:pgSz w:w="16838" w:h="11906" w:orient="landscape"/>
      <w:pgMar w:top="1803" w:right="1440" w:bottom="1746" w:left="1440" w:header="851" w:footer="992" w:gutter="0"/>
      <w:cols w:space="0" w:num="1"/>
      <w:rtlGutter w:val="0"/>
      <w:docGrid w:type="lines" w:linePitch="6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70968"/>
    <w:rsid w:val="09A66524"/>
    <w:rsid w:val="1D183660"/>
    <w:rsid w:val="239D5999"/>
    <w:rsid w:val="24CB0179"/>
    <w:rsid w:val="30916DE9"/>
    <w:rsid w:val="34BE42B6"/>
    <w:rsid w:val="370B53C0"/>
    <w:rsid w:val="38D52189"/>
    <w:rsid w:val="48D5356B"/>
    <w:rsid w:val="49397E87"/>
    <w:rsid w:val="54162C61"/>
    <w:rsid w:val="58840411"/>
    <w:rsid w:val="5A716B5D"/>
    <w:rsid w:val="676B2B46"/>
    <w:rsid w:val="6BAF0F2C"/>
    <w:rsid w:val="70B27BAB"/>
    <w:rsid w:val="76370968"/>
    <w:rsid w:val="76A33C1A"/>
    <w:rsid w:val="7B912748"/>
    <w:rsid w:val="7C40720C"/>
    <w:rsid w:val="7D0557CE"/>
    <w:rsid w:val="7F2729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2020-11-12T07:20:00Z</dcterms:created>
  <dc:creator>Administrator</dc:creator>
  <cp:lastModifiedBy>Administrator</cp:lastModifiedBy>
  <cp:lastPrinted>2021-02-22T01:58:00Z</cp:lastPrinted>
  <dcterms:modified xsi:type="dcterms:W3CDTF">2021-02-26T03:15:38Z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