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rPr>
          <w:rFonts w:eastAsia="方正小标宋简体"/>
          <w:sz w:val="44"/>
          <w:szCs w:val="44"/>
        </w:rPr>
      </w:pPr>
    </w:p>
    <w:p>
      <w:pPr>
        <w:spacing w:line="576" w:lineRule="exact"/>
        <w:rPr>
          <w:rFonts w:eastAsia="方正小标宋简体"/>
          <w:sz w:val="44"/>
          <w:szCs w:val="44"/>
        </w:rPr>
      </w:pPr>
    </w:p>
    <w:p>
      <w:pPr>
        <w:spacing w:line="576" w:lineRule="exact"/>
        <w:rPr>
          <w:rFonts w:eastAsia="方正小标宋简体"/>
          <w:sz w:val="44"/>
          <w:szCs w:val="44"/>
        </w:rPr>
      </w:pPr>
      <w:bookmarkStart w:id="0" w:name="_GoBack"/>
      <w:bookmarkEnd w:id="0"/>
    </w:p>
    <w:p>
      <w:pPr>
        <w:spacing w:line="576" w:lineRule="exact"/>
        <w:rPr>
          <w:rFonts w:eastAsia="方正小标宋简体"/>
          <w:sz w:val="44"/>
          <w:szCs w:val="44"/>
        </w:rPr>
      </w:pPr>
    </w:p>
    <w:p>
      <w:pPr>
        <w:jc w:val="center"/>
        <w:rPr>
          <w:rFonts w:hint="eastAsia" w:eastAsia="方正小标宋简体"/>
          <w:sz w:val="52"/>
          <w:szCs w:val="52"/>
          <w:lang w:eastAsia="zh-CN"/>
        </w:rPr>
      </w:pPr>
      <w:r>
        <w:rPr>
          <w:rFonts w:hint="eastAsia" w:eastAsia="方正小标宋简体"/>
          <w:sz w:val="52"/>
          <w:szCs w:val="52"/>
          <w:lang w:eastAsia="zh-CN"/>
        </w:rPr>
        <w:t>夏县应急管理局</w:t>
      </w:r>
    </w:p>
    <w:p>
      <w:pPr>
        <w:jc w:val="center"/>
        <w:rPr>
          <w:rFonts w:eastAsia="方正小标宋简体"/>
          <w:sz w:val="48"/>
          <w:szCs w:val="48"/>
        </w:rPr>
      </w:pPr>
      <w:r>
        <w:rPr>
          <w:rFonts w:hint="default" w:eastAsia="方正小标宋简体"/>
          <w:sz w:val="52"/>
          <w:szCs w:val="52"/>
          <w:lang w:eastAsia="zh-CN"/>
        </w:rPr>
        <w:t>重大行政执法决定法制审核目录清单</w:t>
      </w:r>
    </w:p>
    <w:p>
      <w:pPr>
        <w:rPr>
          <w:rFonts w:eastAsia="方正小标宋简体"/>
          <w:sz w:val="48"/>
          <w:szCs w:val="48"/>
        </w:rPr>
      </w:pPr>
    </w:p>
    <w:p>
      <w:pPr>
        <w:rPr>
          <w:rFonts w:eastAsia="方正小标宋简体"/>
          <w:sz w:val="48"/>
          <w:szCs w:val="48"/>
        </w:rPr>
      </w:pPr>
    </w:p>
    <w:p>
      <w:pPr>
        <w:spacing w:line="576" w:lineRule="exact"/>
        <w:rPr>
          <w:rFonts w:eastAsia="方正小标宋简体"/>
          <w:sz w:val="44"/>
          <w:szCs w:val="44"/>
        </w:rPr>
      </w:pPr>
    </w:p>
    <w:p>
      <w:pPr>
        <w:spacing w:line="576" w:lineRule="exact"/>
        <w:jc w:val="center"/>
        <w:rPr>
          <w:rFonts w:hint="eastAsia" w:eastAsia="楷体_GB2312"/>
          <w:sz w:val="36"/>
          <w:szCs w:val="36"/>
        </w:rPr>
      </w:pPr>
      <w:r>
        <w:rPr>
          <w:rFonts w:hint="eastAsia" w:eastAsia="楷体_GB2312"/>
          <w:sz w:val="36"/>
          <w:szCs w:val="36"/>
        </w:rPr>
        <w:t>夏县</w:t>
      </w:r>
      <w:r>
        <w:rPr>
          <w:rFonts w:hint="eastAsia" w:eastAsia="楷体_GB2312"/>
          <w:sz w:val="36"/>
          <w:szCs w:val="36"/>
          <w:lang w:eastAsia="zh-CN"/>
        </w:rPr>
        <w:t>应急管理</w:t>
      </w:r>
      <w:r>
        <w:rPr>
          <w:rFonts w:hint="eastAsia" w:eastAsia="楷体_GB2312"/>
          <w:sz w:val="36"/>
          <w:szCs w:val="36"/>
        </w:rPr>
        <w:t>局</w:t>
      </w:r>
    </w:p>
    <w:p>
      <w:pPr>
        <w:spacing w:line="576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楷体_GB2312"/>
          <w:sz w:val="36"/>
          <w:szCs w:val="36"/>
        </w:rPr>
        <w:t>201</w:t>
      </w:r>
      <w:r>
        <w:rPr>
          <w:rFonts w:hint="eastAsia" w:eastAsia="楷体_GB2312"/>
          <w:sz w:val="36"/>
          <w:szCs w:val="36"/>
          <w:lang w:val="en-US" w:eastAsia="zh-CN"/>
        </w:rPr>
        <w:t>9</w:t>
      </w:r>
      <w:r>
        <w:rPr>
          <w:rFonts w:eastAsia="楷体_GB2312"/>
          <w:sz w:val="36"/>
          <w:szCs w:val="36"/>
        </w:rPr>
        <w:t>年</w:t>
      </w:r>
      <w:r>
        <w:rPr>
          <w:rFonts w:hint="eastAsia" w:eastAsia="楷体_GB2312"/>
          <w:sz w:val="36"/>
          <w:szCs w:val="36"/>
          <w:lang w:val="en-US" w:eastAsia="zh-CN"/>
        </w:rPr>
        <w:t>12</w:t>
      </w:r>
      <w:r>
        <w:rPr>
          <w:rFonts w:eastAsia="楷体_GB2312"/>
          <w:sz w:val="36"/>
          <w:szCs w:val="36"/>
        </w:rPr>
        <w:t>月</w:t>
      </w:r>
    </w:p>
    <w:p>
      <w:pPr>
        <w:jc w:val="center"/>
        <w:rPr>
          <w:rFonts w:hint="default" w:ascii="宋体" w:hAnsi="宋体" w:eastAsia="宋体"/>
          <w:b/>
          <w:i w:val="0"/>
          <w:snapToGrid/>
          <w:color w:val="000000"/>
          <w:sz w:val="48"/>
          <w:u w:val="none"/>
          <w:lang w:eastAsia="zh-CN"/>
        </w:rPr>
      </w:pPr>
      <w:r>
        <w:rPr>
          <w:rFonts w:hint="eastAsia" w:eastAsia="方正小标宋简体"/>
          <w:sz w:val="52"/>
          <w:szCs w:val="52"/>
          <w:lang w:eastAsia="zh-CN"/>
        </w:rPr>
        <w:t>夏县应急管理局</w:t>
      </w:r>
      <w:r>
        <w:rPr>
          <w:rFonts w:hint="default" w:eastAsia="方正小标宋简体"/>
          <w:sz w:val="52"/>
          <w:szCs w:val="52"/>
          <w:lang w:eastAsia="zh-CN"/>
        </w:rPr>
        <w:t>重大行政执法决定法制审核目录清单</w:t>
      </w:r>
    </w:p>
    <w:tbl>
      <w:tblPr>
        <w:tblStyle w:val="3"/>
        <w:tblW w:w="14621" w:type="dxa"/>
        <w:tblInd w:w="-33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641"/>
        <w:gridCol w:w="600"/>
        <w:gridCol w:w="1845"/>
        <w:gridCol w:w="1035"/>
        <w:gridCol w:w="1620"/>
        <w:gridCol w:w="1605"/>
        <w:gridCol w:w="840"/>
        <w:gridCol w:w="2775"/>
        <w:gridCol w:w="2835"/>
        <w:gridCol w:w="8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90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序号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执法类别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审核项目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承办机构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审核条件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审核依据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审核</w:t>
            </w: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机构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提交的审核材料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审核</w:t>
            </w: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br w:type="textWrapping"/>
            </w: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重点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审核</w:t>
            </w: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br w:type="textWrapping"/>
            </w: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期限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830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行政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处罚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对公民处以2万元以上的罚款，对法人或者其他组织处以5万元以上的罚款；没收违法所得或者没收非法财物价值相当于上述规定的数额的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局危化股、矿山股、工贸股。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案件调查或者审查结束</w:t>
            </w:r>
          </w:p>
        </w:tc>
        <w:tc>
          <w:tcPr>
            <w:tcW w:w="16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《中华人民共和国安全生产法》第八十九条至第一百零九条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办公室</w:t>
            </w:r>
          </w:p>
        </w:tc>
        <w:tc>
          <w:tcPr>
            <w:tcW w:w="27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1、现场检查记录、询问笔录等执法文书；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2、相关证据资料；案件调查终结报告；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3、拟制的行政处罚决定类文书；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4、《重大行政执法决定法制审核申请表》等材料。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  <w:tc>
          <w:tcPr>
            <w:tcW w:w="28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行政执法主体是否合法，行政执法人员是否具备执法资格；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当事人的基本情况及违法事实是否查清；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违法事实是否清楚，证据是否确凿、充分，材料是否齐全；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适用法律、法规、规章是否准确，执行裁量基准是否适当；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行政执法决定是否适当；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程序是否合法，是否充分保障行政相对人权利；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是否有超越本机关职权范围或滥用职权的情形；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8、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行政执法文书是否规范、齐备；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9、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违法行为是否涉嫌犯罪需要移送司法机关；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10、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其他依法应当审核的事项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10个工作日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95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行政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处罚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吊销有关许可证、撤销有关执业资格、岗位证书的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局危化股、矿山股、工贸股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案件调查或者审查结束</w:t>
            </w:r>
          </w:p>
        </w:tc>
        <w:tc>
          <w:tcPr>
            <w:tcW w:w="16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办公室</w:t>
            </w:r>
          </w:p>
        </w:tc>
        <w:tc>
          <w:tcPr>
            <w:tcW w:w="2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  <w:tc>
          <w:tcPr>
            <w:tcW w:w="28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10个工作日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050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行政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处罚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责令停产停业整顿、责令停产停业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局危化股、矿山股、工贸股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案件调查或者审查结束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《中华人民共和国安全生产法》第八十九条、第九十三条、 第一百零八条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办公室</w:t>
            </w:r>
          </w:p>
        </w:tc>
        <w:tc>
          <w:tcPr>
            <w:tcW w:w="27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  <w:tc>
          <w:tcPr>
            <w:tcW w:w="28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10个工作日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760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行政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强制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对不符合保障安全生产的国家标准或者行业标准的设施、设备、器材以及违法生产、储存、使用、经营、运输的危险物品予以查封或者扣押（价值5万元以上的），对违法生产、储存、使用、经营危险物品的作业场所予以查封。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局危化股、矿山股、工贸股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案件调查或者审查结束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《中华人民共和国安全生产法》第六十二条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办公室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1、现场检查记录、询问笔录等执法文书；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2、相关证据资料；案件调查终结报告；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3、拟制的查封扣押类文书；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4、《重大行政执法决定法制审核申请表》等材料。</w:t>
            </w:r>
          </w:p>
        </w:tc>
        <w:tc>
          <w:tcPr>
            <w:tcW w:w="28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行政执法机关主体是否合法，行政执法人员是否具备执法资格；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主要事实是否清楚，证据是否确凿、充分；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适用法律、法规、规章是否准确；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是否符合采取强制措施的条件，程序是否合法，是否充分保障行政相对人权利； 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是否有超越本机关职权范围或滥用职权的情形；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6、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行政执法文书是否规范、齐备；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其他依法应当审核的事项。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10个工作日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95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行政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强制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通知有关单位停止供电、停止供应民用爆炸物品等措施，强制生产经营单位履行决定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局危化股、矿山股、工贸股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案件调查或者审查结束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《中华人民共和国安全生产法》第六十七条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办公室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1、现场检查记录、询问笔录等执法文书；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2、相关证据资料；案件调查终结报告；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3、拟制的停止供电、停止供应民用爆炸物品类文书；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4、《重大行政执法决定法制审核申请表》等材料。</w:t>
            </w:r>
          </w:p>
        </w:tc>
        <w:tc>
          <w:tcPr>
            <w:tcW w:w="28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10个工作日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95" w:hRule="atLeast"/>
        </w:trPr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行政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强制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申请人民法院强制执行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局危化股、矿山股、工贸股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案件调查或者审查结束，做出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行政决定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《中华人民共和国行政强制法》第四十六条、第五十三条、第五十四条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办公室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1、行政决定书及作出决定的事实、理由和依据；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2、当事人的意见及行政机关催告情况说明；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3、申请强制执行标的情况说明；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4、拟制的强制执行申请书；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5、《重大行政执法决定法制审核申请表》等材料。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在法定期限内，当事人是否已申请行政复议或者提起行政诉讼；                    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是否已按规定时限下达《行政强制执行事先催告书》；  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是否有查封、扣押的财物可依法拍卖抵缴罚款；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申请强制执行是否符合其它法定条件。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5、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其他依法应当审核的事项。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10个工作日</w:t>
            </w:r>
          </w:p>
        </w:tc>
      </w:tr>
    </w:tbl>
    <w:p>
      <w:pPr>
        <w:rPr>
          <w:rFonts w:hint="default" w:ascii="宋体" w:hAnsi="宋体" w:eastAsia="宋体"/>
          <w:b/>
          <w:i w:val="0"/>
          <w:snapToGrid/>
          <w:color w:val="000000"/>
          <w:sz w:val="48"/>
          <w:u w:val="none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Calibri">
    <w:altName w:val="Lucida Sans Unicode"/>
    <w:panose1 w:val="020F0502020204030204"/>
    <w:charset w:val="01"/>
    <w:family w:val="swiss"/>
    <w:pitch w:val="default"/>
    <w:sig w:usb0="00000000" w:usb1="00000000" w:usb2="00000001" w:usb3="00000000" w:csb0="2000019F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Lucida Sans Unicode">
    <w:panose1 w:val="020B0602030504020204"/>
    <w:charset w:val="01"/>
    <w:family w:val="swiss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iconfon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67766"/>
    <w:rsid w:val="05EC6BC3"/>
    <w:rsid w:val="0A625DCB"/>
    <w:rsid w:val="1BF92855"/>
    <w:rsid w:val="5FF06ED2"/>
    <w:rsid w:val="7376776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2020-01-02T08:41:00Z</dcterms:created>
  <dc:creator>Administrator</dc:creator>
  <cp:lastModifiedBy>Administrator</cp:lastModifiedBy>
  <dcterms:modified xsi:type="dcterms:W3CDTF">2020-10-30T02:09:04Z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