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6" w:lineRule="exact"/>
        <w:rPr>
          <w:rFonts w:eastAsia="方正小标宋简体"/>
          <w:sz w:val="44"/>
          <w:szCs w:val="44"/>
        </w:rPr>
      </w:pPr>
    </w:p>
    <w:p>
      <w:pPr>
        <w:spacing w:line="576" w:lineRule="exact"/>
        <w:rPr>
          <w:rFonts w:eastAsia="方正小标宋简体"/>
          <w:sz w:val="44"/>
          <w:szCs w:val="44"/>
        </w:rPr>
      </w:pPr>
    </w:p>
    <w:p>
      <w:pPr>
        <w:jc w:val="center"/>
        <w:rPr>
          <w:rFonts w:hint="eastAsia" w:eastAsia="方正小标宋简体"/>
          <w:sz w:val="52"/>
          <w:szCs w:val="52"/>
        </w:rPr>
      </w:pPr>
      <w:r>
        <w:rPr>
          <w:rFonts w:hint="eastAsia" w:eastAsia="方正小标宋简体"/>
          <w:sz w:val="52"/>
          <w:szCs w:val="52"/>
        </w:rPr>
        <w:t>夏县</w:t>
      </w:r>
      <w:r>
        <w:rPr>
          <w:rFonts w:hint="eastAsia" w:eastAsia="方正小标宋简体"/>
          <w:sz w:val="52"/>
          <w:szCs w:val="52"/>
          <w:lang w:eastAsia="zh-CN"/>
        </w:rPr>
        <w:t>应急管理</w:t>
      </w:r>
      <w:r>
        <w:rPr>
          <w:rFonts w:hint="eastAsia" w:eastAsia="方正小标宋简体"/>
          <w:sz w:val="52"/>
          <w:szCs w:val="52"/>
        </w:rPr>
        <w:t>局</w:t>
      </w:r>
    </w:p>
    <w:p>
      <w:pPr>
        <w:jc w:val="center"/>
        <w:rPr>
          <w:rFonts w:eastAsia="方正小标宋简体"/>
          <w:sz w:val="48"/>
          <w:szCs w:val="48"/>
        </w:rPr>
      </w:pPr>
      <w:r>
        <w:rPr>
          <w:rFonts w:hint="default" w:eastAsia="方正小标宋简体"/>
          <w:sz w:val="52"/>
          <w:szCs w:val="52"/>
          <w:lang w:eastAsia="zh-CN"/>
        </w:rPr>
        <w:t>行政执法音像记录事项清单</w:t>
      </w:r>
    </w:p>
    <w:p>
      <w:pPr>
        <w:rPr>
          <w:rFonts w:eastAsia="方正小标宋简体"/>
          <w:sz w:val="48"/>
          <w:szCs w:val="48"/>
        </w:rPr>
      </w:pPr>
    </w:p>
    <w:p>
      <w:pPr>
        <w:rPr>
          <w:rFonts w:eastAsia="方正小标宋简体"/>
          <w:sz w:val="48"/>
          <w:szCs w:val="48"/>
        </w:rPr>
      </w:pPr>
    </w:p>
    <w:p>
      <w:pPr>
        <w:spacing w:line="576" w:lineRule="exact"/>
        <w:rPr>
          <w:rFonts w:eastAsia="方正小标宋简体"/>
          <w:sz w:val="44"/>
          <w:szCs w:val="44"/>
        </w:rPr>
      </w:pPr>
    </w:p>
    <w:p>
      <w:pPr>
        <w:spacing w:line="576" w:lineRule="exact"/>
        <w:jc w:val="center"/>
        <w:rPr>
          <w:rFonts w:hint="eastAsia" w:eastAsia="楷体_GB2312"/>
          <w:sz w:val="36"/>
          <w:szCs w:val="36"/>
        </w:rPr>
      </w:pPr>
      <w:r>
        <w:rPr>
          <w:rFonts w:hint="eastAsia" w:eastAsia="楷体_GB2312"/>
          <w:sz w:val="36"/>
          <w:szCs w:val="36"/>
        </w:rPr>
        <w:t>夏县</w:t>
      </w:r>
      <w:r>
        <w:rPr>
          <w:rFonts w:hint="eastAsia" w:eastAsia="楷体_GB2312"/>
          <w:sz w:val="36"/>
          <w:szCs w:val="36"/>
          <w:lang w:eastAsia="zh-CN"/>
        </w:rPr>
        <w:t>应急管理</w:t>
      </w:r>
      <w:r>
        <w:rPr>
          <w:rFonts w:hint="eastAsia" w:eastAsia="楷体_GB2312"/>
          <w:sz w:val="36"/>
          <w:szCs w:val="36"/>
        </w:rPr>
        <w:t>局</w:t>
      </w:r>
    </w:p>
    <w:p>
      <w:pPr>
        <w:spacing w:line="576" w:lineRule="exact"/>
        <w:jc w:val="center"/>
        <w:rPr>
          <w:rFonts w:eastAsia="方正小标宋简体"/>
          <w:sz w:val="44"/>
          <w:szCs w:val="44"/>
        </w:rPr>
      </w:pPr>
      <w:r>
        <w:rPr>
          <w:rFonts w:eastAsia="楷体_GB2312"/>
          <w:sz w:val="36"/>
          <w:szCs w:val="36"/>
        </w:rPr>
        <w:t>20</w:t>
      </w:r>
      <w:r>
        <w:rPr>
          <w:rFonts w:hint="eastAsia" w:eastAsia="楷体_GB2312"/>
          <w:sz w:val="36"/>
          <w:szCs w:val="36"/>
          <w:lang w:val="en-US" w:eastAsia="zh-CN"/>
        </w:rPr>
        <w:t>20</w:t>
      </w:r>
      <w:r>
        <w:rPr>
          <w:rFonts w:eastAsia="楷体_GB2312"/>
          <w:sz w:val="36"/>
          <w:szCs w:val="36"/>
        </w:rPr>
        <w:t>年</w:t>
      </w:r>
      <w:r>
        <w:rPr>
          <w:rFonts w:hint="eastAsia" w:eastAsia="楷体_GB2312"/>
          <w:sz w:val="36"/>
          <w:szCs w:val="36"/>
          <w:lang w:val="en-US" w:eastAsia="zh-CN"/>
        </w:rPr>
        <w:t>5</w:t>
      </w:r>
      <w:r>
        <w:rPr>
          <w:rFonts w:eastAsia="楷体_GB2312"/>
          <w:sz w:val="36"/>
          <w:szCs w:val="36"/>
        </w:rPr>
        <w:t>月</w:t>
      </w:r>
    </w:p>
    <w:p>
      <w:pPr>
        <w:jc w:val="center"/>
        <w:rPr>
          <w:rFonts w:hint="eastAsia" w:eastAsia="方正小标宋简体"/>
          <w:sz w:val="52"/>
          <w:szCs w:val="52"/>
          <w:lang w:eastAsia="zh-CN"/>
        </w:rPr>
      </w:pPr>
    </w:p>
    <w:p>
      <w:pPr>
        <w:jc w:val="center"/>
        <w:rPr>
          <w:rFonts w:hint="default" w:eastAsia="方正小标宋简体"/>
          <w:sz w:val="52"/>
          <w:szCs w:val="52"/>
          <w:lang w:eastAsia="zh-CN"/>
        </w:rPr>
      </w:pPr>
      <w:bookmarkStart w:id="0" w:name="_GoBack"/>
      <w:bookmarkEnd w:id="0"/>
      <w:r>
        <w:rPr>
          <w:rFonts w:hint="eastAsia" w:eastAsia="方正小标宋简体"/>
          <w:sz w:val="52"/>
          <w:szCs w:val="52"/>
          <w:lang w:eastAsia="zh-CN"/>
        </w:rPr>
        <w:t>夏县应急管理局</w:t>
      </w:r>
      <w:r>
        <w:rPr>
          <w:rFonts w:hint="default" w:eastAsia="方正小标宋简体"/>
          <w:sz w:val="52"/>
          <w:szCs w:val="52"/>
          <w:lang w:eastAsia="zh-CN"/>
        </w:rPr>
        <w:t>行政执法音像记录事项清单</w:t>
      </w:r>
    </w:p>
    <w:tbl>
      <w:tblPr>
        <w:tblStyle w:val="7"/>
        <w:tblW w:w="14726" w:type="dxa"/>
        <w:tblInd w:w="-33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
      <w:tblGrid>
        <w:gridCol w:w="761"/>
        <w:gridCol w:w="1005"/>
        <w:gridCol w:w="1080"/>
        <w:gridCol w:w="1380"/>
        <w:gridCol w:w="990"/>
        <w:gridCol w:w="810"/>
        <w:gridCol w:w="1281"/>
        <w:gridCol w:w="989"/>
        <w:gridCol w:w="1098"/>
        <w:gridCol w:w="2640"/>
        <w:gridCol w:w="1080"/>
        <w:gridCol w:w="952"/>
        <w:gridCol w:w="6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156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序号</w:t>
            </w:r>
          </w:p>
        </w:tc>
        <w:tc>
          <w:tcPr>
            <w:tcW w:w="1005"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执法</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类别</w:t>
            </w:r>
          </w:p>
        </w:tc>
        <w:tc>
          <w:tcPr>
            <w:tcW w:w="108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执法</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事项</w:t>
            </w:r>
          </w:p>
        </w:tc>
        <w:tc>
          <w:tcPr>
            <w:tcW w:w="138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记录</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事项</w:t>
            </w:r>
          </w:p>
        </w:tc>
        <w:tc>
          <w:tcPr>
            <w:tcW w:w="99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记录</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场合</w:t>
            </w:r>
          </w:p>
        </w:tc>
        <w:tc>
          <w:tcPr>
            <w:tcW w:w="81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执法</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时限</w:t>
            </w:r>
          </w:p>
        </w:tc>
        <w:tc>
          <w:tcPr>
            <w:tcW w:w="1281"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执法</w:t>
            </w:r>
            <w:r>
              <w:rPr>
                <w:rFonts w:hint="default" w:ascii="宋体" w:hAnsi="宋体" w:eastAsia="宋体"/>
                <w:b/>
                <w:i w:val="0"/>
                <w:snapToGrid/>
                <w:color w:val="000000"/>
                <w:sz w:val="24"/>
                <w:u w:val="none"/>
                <w:lang w:eastAsia="zh-CN"/>
              </w:rPr>
              <w:br w:type="textWrapping"/>
            </w:r>
            <w:r>
              <w:rPr>
                <w:rFonts w:hint="default" w:ascii="宋体" w:hAnsi="宋体" w:eastAsia="宋体"/>
                <w:b/>
                <w:i w:val="0"/>
                <w:snapToGrid/>
                <w:color w:val="000000"/>
                <w:sz w:val="24"/>
                <w:u w:val="none"/>
                <w:lang w:eastAsia="zh-CN"/>
              </w:rPr>
              <w:t>部门</w:t>
            </w:r>
          </w:p>
        </w:tc>
        <w:tc>
          <w:tcPr>
            <w:tcW w:w="989"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记录人</w:t>
            </w:r>
          </w:p>
        </w:tc>
        <w:tc>
          <w:tcPr>
            <w:tcW w:w="1098"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开始记录时间</w:t>
            </w:r>
          </w:p>
        </w:tc>
        <w:tc>
          <w:tcPr>
            <w:tcW w:w="264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记录过程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结束记录时间</w:t>
            </w:r>
          </w:p>
        </w:tc>
        <w:tc>
          <w:tcPr>
            <w:tcW w:w="952"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执法记录类别</w:t>
            </w:r>
          </w:p>
        </w:tc>
        <w:tc>
          <w:tcPr>
            <w:tcW w:w="660" w:type="dxa"/>
            <w:tcBorders>
              <w:top w:val="single" w:color="000000" w:sz="4" w:space="0"/>
              <w:left w:val="single" w:color="000000" w:sz="4" w:space="0"/>
              <w:bottom w:val="single" w:color="000000" w:sz="4" w:space="0"/>
              <w:right w:val="single" w:color="000000" w:sz="4" w:space="0"/>
            </w:tcBorders>
            <w:vAlign w:val="center"/>
          </w:tcPr>
          <w:p>
            <w:pPr>
              <w:kinsoku/>
              <w:autoSpaceDE/>
              <w:autoSpaceDN w:val="0"/>
              <w:jc w:val="center"/>
              <w:textAlignment w:val="center"/>
              <w:rPr>
                <w:rFonts w:hint="default" w:ascii="宋体" w:hAnsi="宋体" w:eastAsia="宋体"/>
                <w:b/>
                <w:i w:val="0"/>
                <w:snapToGrid/>
                <w:color w:val="000000"/>
                <w:sz w:val="24"/>
                <w:u w:val="none"/>
                <w:lang w:eastAsia="zh-CN"/>
              </w:rPr>
            </w:pPr>
            <w:r>
              <w:rPr>
                <w:rFonts w:hint="default" w:ascii="宋体" w:hAnsi="宋体" w:eastAsia="宋体"/>
                <w:b/>
                <w:i w:val="0"/>
                <w:snapToGrid/>
                <w:color w:val="000000"/>
                <w:sz w:val="24"/>
                <w:u w:val="none"/>
                <w:lang w:eastAsia="zh-CN"/>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行政检查</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现场检查</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进入被检查单位</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进入企业前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执法人员到达能够反映单位名称、概貌的标志性建筑物的过程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检查结束后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785"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行政检查</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现场检查</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出示执法证件</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进入企业前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 不少于2名安全生产行政执法人员向单位当场出示合法有效的行政执法证件，表明身份的过程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检查结束后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875"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行政检查</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现场检查</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向被检查对象告知执法目的</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进入企业前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 向被检查对象告知来意， 并使用“我们是 × × 应急管理局 （部门） 的行政执法人员 × × × 、 × × × ， 证件号码为× × × × 、 × × × × ， 这是我们的证件。 现依法对你单位进行监督检查，请予以配合” 等规范用语的过程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检查结束后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80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行政检查</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现场检查</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听取情况介绍</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进入企业前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了解和掌握被检查单位建章立制、安全教育培训、 安全经费投入、应急管理、现场管理、重大危险源管理、重点安全部位管理、职业健康管理情况等安全生产工作基本状况的过程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检查结束后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5</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行政检查</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现场检查</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实施现场检查</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进入企业前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安全生产行政执法人员依照《现场检查方案》，对被检查单位的安全生产文件资料和相关生产经营场所进行检查的过程，要如实记载检查人员在现场观察到的实际情况，反映其客观的原始状态，力求全面反映检查情况，凡是对案件有意义的情况需全面收集并予记录，对关键细节应当详细记录。</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检查结束后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6</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行政检查</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现场检查</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查看安全管理文件资料</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进入企业前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行政执法人员依据预先制定的《现场检查方案》或检查表，对被检查单位的安全管理文件资料进行检查和询问、核实、记录的过程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检查结束后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7</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行政检查</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现场检查</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检查重点场所</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进入企业前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按照《现场检查方案》或检查表，对被检查单位的重大危险源、重大事故隐患、有毒有害、易燃易爆作业场所、重点车间、仓库、应急设施设备和器材、变电室等现场等重点安全部位和重点生产经营环节实施实地检查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检查结束后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8</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行政检查</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现场检查</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反馈检查情况 </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进入企业前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执法人员对监督检查发现的安全生产违法行为或者事故隐患，依照法律、法规、规章规定采取相关处理措施，并向生产经营单位反馈检查情况，提出整改要求，督促生产经营单位及有关人员依法履行相关的安全生产责任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检查结束后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9</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行政检查</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现场检查</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采取现场处置措施</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进入企业前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根据违法行为或者生产安全事故隐患，制作、宣读《责令限期整改指令书》或《现场处理措施决定书》，并依法送达法律文书的过程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检查结束后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10</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行政检查</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现场检查</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按期组织复查</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到期后10日内</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复查开始时</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从被检查单位提出复查申请或者整改、治理限期届满之日起10日内进行复查，企业按期完成整改达到有关法律法规规章和标准规定的要求或者未达到有关法律法规规章和标准规定的要求，以及逾期未整改的，由2名执法人员填写《复查意见书》并宣读执法文书，交付当事人，作出进一步处理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复查结束后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11</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调查取证</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出示执法证件</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调查取证开始前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不少于2名安全生产执法人员向当事人或者有关人员出示有效的执法证件，表明身份的过程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调查取证结束后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12</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调查取证</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调取原始凭证</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调查取证开始前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案件调查人员调取与案件有关的原始凭证，并由出具证据的生产经营单位、相关人员签名或者盖章的过程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调查取证结束后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13</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调查取证</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先行登记保存证据</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先行登记保存证据前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向相关单位制作并送达 《先行登记保存证据通知书》，现场核对确认证据名称和数量，执法人员和相关人员在《先行登记保存证据清单》上签字，并在７日内依法作出有关处理决定的过程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证据保存结束后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14</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调查取证</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现场勘验取证</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现场勘验取证前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案件调查人员为查明案情，依法对违法事实的现场或者场所、物品等进行检查和勘验，并记载检查勘验情况的过程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勘验取证结束后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15</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调查取证</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听取当事人陈述申辩</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办公场所执法现场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告知后3日内</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陈述申辩开始前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当事人收到行政处罚告知书3日内，提出陈述申辩的过程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陈述申辩程序结束后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16</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调查取证</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询问有关人员</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询问地点</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记录人</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询问开始前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记录执法人员为查明案情，依法向案件当事人、见证人等有关知情人员告知有关权利、进行调查询问、签字确认的过程 </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询问结束后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17</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行政处罚听证</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通知当事人举行听证的时间、 地点</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送达地点</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听证7日前</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送达通知书时</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在举行听证会的7日前，通知当事人举行听证的时间、 地点的过程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送达完成后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18</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行政处罚听证</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宣布听证会场纪律、当事人的权利和义务</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听证主持人宣布听证案由与听证纪律、核对申请人及其委托代理人身份，告知相关权利与义务，询问是否申请回避的过程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19</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行政处罚听证</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案件调查人员说明拟作出行政处罚的内容及法律依据</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案件调查人员提出当事人的违法事实、出示证据，说明拟作出的行政处罚的内容及法律依据的过程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20</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行政处罚听证</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当事人或者其委托代理人进行陈述、申辩和质证</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 当事人或者其委托代理人对案件的事实、证据、 适用的法律等进行陈述和申辩，提交证据材料的过程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21</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行政处罚听证</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听证主持人向当事人、案件调查人员、证人询问</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听证主持人就案件的有关问题向当事人、案件调查人员、证人询问的过程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22</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行政处罚听证</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双方相互辩论</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案件调查人员和当事人或其委托代理人互相辩论的全过程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275"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23</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行政处罚听证</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 最后陈述</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当事人或其委托代理人最后陈述的过程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24</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行政处罚听证</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宣布听证结束</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听证主持人确认案件调查人员和当事人或其委托代理人再无陈述申辩事项，宣布听证结束的过程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25</w:t>
            </w:r>
          </w:p>
        </w:tc>
        <w:tc>
          <w:tcPr>
            <w:tcW w:w="1005"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行政处罚听证</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当事人确认《听证笔录》</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当事人或其委托代理人对《听证笔录》进行核对，无误后签字或盖章的过程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26</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文书送达</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直接送达</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送达场所</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执法文书当场或7日内送达，并由2名执法人员宣读执法文书，交付当事人或其他的法定受送达人过程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27</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文书送达</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 留置送达</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送达场所</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受送达人或者他的同住成年家属拒绝接收时，2名以上执法人员邀请有关基层组织或者所在单位的代表到场，说明情况，在送达回执上记明拒收的事由和日期，由送达人、见证人签名或者盖章，将文书留在受送达人住址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28</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文书送达</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委托送达</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送达场所</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受委托</w:t>
            </w:r>
            <w:r>
              <w:rPr>
                <w:rFonts w:hint="eastAsia" w:ascii="宋体" w:hAnsi="宋体" w:cs="宋体"/>
                <w:i w:val="0"/>
                <w:color w:val="000000"/>
                <w:kern w:val="0"/>
                <w:sz w:val="21"/>
                <w:szCs w:val="21"/>
                <w:u w:val="none"/>
                <w:lang w:val="en-US" w:eastAsia="zh-CN" w:bidi="ar"/>
              </w:rPr>
              <w:t>乡镇应急管理站</w:t>
            </w: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直接送达确有困难的，可以委托当地</w:t>
            </w:r>
            <w:r>
              <w:rPr>
                <w:rFonts w:hint="eastAsia" w:ascii="宋体" w:hAnsi="宋体" w:cs="宋体"/>
                <w:i w:val="0"/>
                <w:color w:val="000000"/>
                <w:kern w:val="0"/>
                <w:sz w:val="21"/>
                <w:szCs w:val="21"/>
                <w:u w:val="none"/>
                <w:lang w:val="en-US" w:eastAsia="zh-CN" w:bidi="ar"/>
              </w:rPr>
              <w:t>应急管理站</w:t>
            </w:r>
            <w:r>
              <w:rPr>
                <w:rFonts w:hint="eastAsia" w:ascii="宋体" w:hAnsi="宋体" w:eastAsia="宋体" w:cs="宋体"/>
                <w:i w:val="0"/>
                <w:color w:val="000000"/>
                <w:kern w:val="0"/>
                <w:sz w:val="21"/>
                <w:szCs w:val="21"/>
                <w:u w:val="none"/>
                <w:lang w:val="en-US" w:eastAsia="zh-CN" w:bidi="ar"/>
              </w:rPr>
              <w:t>代为送达，代为送达的</w:t>
            </w:r>
            <w:r>
              <w:rPr>
                <w:rFonts w:hint="eastAsia" w:ascii="宋体" w:hAnsi="宋体" w:cs="宋体"/>
                <w:i w:val="0"/>
                <w:color w:val="000000"/>
                <w:kern w:val="0"/>
                <w:sz w:val="21"/>
                <w:szCs w:val="21"/>
                <w:u w:val="none"/>
                <w:lang w:val="en-US" w:eastAsia="zh-CN" w:bidi="ar"/>
              </w:rPr>
              <w:t>应急管理站</w:t>
            </w:r>
            <w:r>
              <w:rPr>
                <w:rFonts w:hint="eastAsia" w:ascii="宋体" w:hAnsi="宋体" w:eastAsia="宋体" w:cs="宋体"/>
                <w:i w:val="0"/>
                <w:color w:val="000000"/>
                <w:kern w:val="0"/>
                <w:sz w:val="21"/>
                <w:szCs w:val="21"/>
                <w:u w:val="none"/>
                <w:lang w:val="en-US" w:eastAsia="zh-CN" w:bidi="ar"/>
              </w:rPr>
              <w:t>收到文书后，由2名执法人员及时交受送达人签收的过程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29</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行政处罚</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特殊情况处理</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执法人员遇拒绝、阻挠执法等特殊情形</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特殊情况出现时</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行政执法人员在现场遇拒绝、阻挠执法等特殊情形，依法实施警示、报警或报告当地政府等现场处置的过程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特殊情况处置后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30</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行政强制</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查封扣押决定</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向当事人告知查封扣押决定</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查封、扣押地点</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查封、扣押开始前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2人行政执法人员向有关生产经营单位宣告并送达《查封扣押决定书》的过程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查封、扣押结束后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31</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行政强制</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查封、扣押物品核实确认</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查封涉案物品时，对拟查封物品的具体情况认真清点核实和确认。</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查封、扣押地点</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查封、扣押开始前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对有根据认为不符合保障安全生产的国家标准或者行业标准的设施、 设备、 器材以及违法生产、储存、 使用、 经营、 运输的危险物品予以查封或者扣押，对违法生产、 储存、 使用、 经营危险物品的作业场所予以查封，并当场清点、核实、确认，在《查封扣押 （场所、 设施、 财物） 清单》签字的过程 </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查封、扣押结束后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32</w:t>
            </w:r>
          </w:p>
        </w:tc>
        <w:tc>
          <w:tcPr>
            <w:tcW w:w="1005"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行政强制</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解除查封、扣押决定</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解除并清点确认查封、扣押物品</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查封、扣押地点</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局各业股室、综合执法队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解除查封、扣押开始前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经调查后，依法解除查封扣押，当场清点、核实、确认查封扣押物品的过程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解除查封、扣押结束后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现场勘验</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现场环境；勘验过程</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勘验现场</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勘验开始前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是为查明案情，依法对违法事实的现场或者场所、物品等进行检查和勘验，并记载检查勘验情况的过程，应当有序（先远后近、先外后里、先上后下、先一般后个别）、客观（客观反映被勘验对象原始状态情形）、全面（对关系到勘验目的的情况应当全面勘查并记录，对关键细节要详细记录）地记录勘验现场位置、周围环境、现场状况、外形、大小以及其他情况。</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勘验结束后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33</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行政许可听证程序</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通知当事人举行听证的时间、 地点</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送达地点</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听证7日前</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送达通知书时</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在举行听证会的7日前，通知申请人、利害关系人举行听证的时间、地点的过程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送达完成后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34</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行政许可听证程序</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宣布听证会场纪律、当事人的权利和义务</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听证主持人宣布听证案由与听证纪律、核对申请人、利害关系人及其委托代理人身份，告知相关权利与义务，询问是否申请回避的过程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行政许可听证程序</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审查该行政许可申请的工作人员说明拟作出行政许可的内容及法律依据</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审查该行政许可申请的工作人员提供审查意见的证据、理由，说明拟作出的行政许可的内容及法律依据的过程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36</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行政许可听证程序</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当事人或者其委托代理人进行陈述、申辩和质证</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申请人、利害关系人或者其委托代理人对行政许可的事实、证据、 适用的法律等进行陈述和申辩，提交证据材料的过程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9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37</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行政许可听证程序</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听证主持人向当事人、审查该行政许可申请的工作人员、证人询问</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听证主持人就行政许可的有关问题向申请人、利害关系人、案件调查人员、证人询问的过程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38</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行政许可听证程序</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双方相互辩论</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审查该行政许可申请的工作人员和申请人、利害关系人或其委托代理人互相辩论的全过程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39</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行政许可听证程序</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 最后陈述</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申请人、利害关系人或其委托代理人最后陈述的过程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26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行政许可行政许可听证程序</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宣布听证结束</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听证主持人确认审查该行政许可申请的工作人员和申请人、利害关系人或其委托代理人再无陈述申辩事项，宣布听证结束的过程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41</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行政许可听证程序</w:t>
            </w:r>
          </w:p>
        </w:tc>
        <w:tc>
          <w:tcPr>
            <w:tcW w:w="13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当事人确认《听证笔录》</w:t>
            </w:r>
          </w:p>
        </w:tc>
        <w:tc>
          <w:tcPr>
            <w:tcW w:w="99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听证场所</w:t>
            </w:r>
          </w:p>
        </w:tc>
        <w:tc>
          <w:tcPr>
            <w:tcW w:w="81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适时</w:t>
            </w:r>
          </w:p>
        </w:tc>
        <w:tc>
          <w:tcPr>
            <w:tcW w:w="1281"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cs="宋体"/>
                <w:i w:val="0"/>
                <w:color w:val="000000"/>
                <w:kern w:val="0"/>
                <w:sz w:val="21"/>
                <w:szCs w:val="21"/>
                <w:u w:val="none"/>
                <w:lang w:val="en-US" w:eastAsia="zh-CN" w:bidi="ar"/>
              </w:rPr>
              <w:t>办公室</w:t>
            </w:r>
          </w:p>
        </w:tc>
        <w:tc>
          <w:tcPr>
            <w:tcW w:w="98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书记员</w:t>
            </w:r>
          </w:p>
        </w:tc>
        <w:tc>
          <w:tcPr>
            <w:tcW w:w="109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听证开始前</w:t>
            </w:r>
          </w:p>
        </w:tc>
        <w:tc>
          <w:tcPr>
            <w:tcW w:w="264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申请人、利害关系人或其委托代理人对《听证笔录》进行核对，无误后签字或盖章的过程</w:t>
            </w:r>
          </w:p>
        </w:tc>
        <w:tc>
          <w:tcPr>
            <w:tcW w:w="1080"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听证结束后</w:t>
            </w:r>
          </w:p>
        </w:tc>
        <w:tc>
          <w:tcPr>
            <w:tcW w:w="952"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42</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不予受理通知书、不予许可决定书等文书送达</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直接送达</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送达场所</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政许可证件当场或10日内送达，并由2名执法人员宣读执法文书，交付当事人或其他的法定受送达人过程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43</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行政许可</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不予受理通知书、不予许可决定书等文书送达</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 xml:space="preserve"> 留置送达</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送达场所</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受送达人或者他的同住成年家属拒绝接收时，2名以上执法人员邀请有关基层组织或者所在单位的代表到场，说明情况，在送达回执上记明拒收的事由和日期，由送达人、见证人签名或者盖章，将文书留在受送达人住址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5" w:type="dxa"/>
            <w:bottom w:w="0" w:type="dxa"/>
            <w:right w:w="15" w:type="dxa"/>
          </w:tblCellMar>
        </w:tblPrEx>
        <w:trPr>
          <w:trHeight w:val="480"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44</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不予受理通知书、不予许可决定书等文书送达</w:t>
            </w:r>
          </w:p>
        </w:tc>
        <w:tc>
          <w:tcPr>
            <w:tcW w:w="13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委托送达</w:t>
            </w:r>
          </w:p>
        </w:tc>
        <w:tc>
          <w:tcPr>
            <w:tcW w:w="99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送达场所</w:t>
            </w:r>
          </w:p>
        </w:tc>
        <w:tc>
          <w:tcPr>
            <w:tcW w:w="81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送达时</w:t>
            </w:r>
          </w:p>
        </w:tc>
        <w:tc>
          <w:tcPr>
            <w:tcW w:w="1281"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局各业</w:t>
            </w:r>
            <w:r>
              <w:rPr>
                <w:rFonts w:hint="eastAsia" w:ascii="宋体" w:hAnsi="宋体" w:cs="宋体"/>
                <w:i w:val="0"/>
                <w:color w:val="000000"/>
                <w:kern w:val="0"/>
                <w:sz w:val="21"/>
                <w:szCs w:val="21"/>
                <w:u w:val="none"/>
                <w:lang w:val="en-US" w:eastAsia="zh-CN" w:bidi="ar"/>
              </w:rPr>
              <w:t>股</w:t>
            </w:r>
            <w:r>
              <w:rPr>
                <w:rFonts w:hint="eastAsia" w:ascii="宋体" w:hAnsi="宋体" w:eastAsia="宋体" w:cs="宋体"/>
                <w:i w:val="0"/>
                <w:color w:val="000000"/>
                <w:kern w:val="0"/>
                <w:sz w:val="21"/>
                <w:szCs w:val="21"/>
                <w:u w:val="none"/>
                <w:lang w:val="en-US" w:eastAsia="zh-CN" w:bidi="ar"/>
              </w:rPr>
              <w:t>室、</w:t>
            </w:r>
            <w:r>
              <w:rPr>
                <w:rFonts w:hint="eastAsia" w:ascii="宋体" w:hAnsi="宋体" w:cs="宋体"/>
                <w:i w:val="0"/>
                <w:color w:val="000000"/>
                <w:kern w:val="0"/>
                <w:sz w:val="21"/>
                <w:szCs w:val="21"/>
                <w:u w:val="none"/>
                <w:lang w:val="en-US" w:eastAsia="zh-CN" w:bidi="ar"/>
              </w:rPr>
              <w:t>综合执法</w:t>
            </w:r>
            <w:r>
              <w:rPr>
                <w:rFonts w:hint="eastAsia" w:ascii="宋体" w:hAnsi="宋体" w:eastAsia="宋体" w:cs="宋体"/>
                <w:i w:val="0"/>
                <w:color w:val="000000"/>
                <w:kern w:val="0"/>
                <w:sz w:val="21"/>
                <w:szCs w:val="21"/>
                <w:u w:val="none"/>
                <w:lang w:val="en-US" w:eastAsia="zh-CN" w:bidi="ar"/>
              </w:rPr>
              <w:t>队</w:t>
            </w:r>
          </w:p>
        </w:tc>
        <w:tc>
          <w:tcPr>
            <w:tcW w:w="989"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受委托</w:t>
            </w:r>
            <w:r>
              <w:rPr>
                <w:rFonts w:hint="eastAsia" w:ascii="宋体" w:hAnsi="宋体" w:cs="宋体"/>
                <w:i w:val="0"/>
                <w:color w:val="000000"/>
                <w:kern w:val="0"/>
                <w:sz w:val="21"/>
                <w:szCs w:val="21"/>
                <w:u w:val="none"/>
                <w:lang w:val="en-US" w:eastAsia="zh-CN" w:bidi="ar"/>
              </w:rPr>
              <w:t>乡镇应急管理站</w:t>
            </w:r>
            <w:r>
              <w:rPr>
                <w:rFonts w:hint="eastAsia" w:ascii="宋体" w:hAnsi="宋体" w:eastAsia="宋体" w:cs="宋体"/>
                <w:i w:val="0"/>
                <w:color w:val="000000"/>
                <w:kern w:val="0"/>
                <w:sz w:val="21"/>
                <w:szCs w:val="21"/>
                <w:u w:val="none"/>
                <w:lang w:val="en-US" w:eastAsia="zh-CN" w:bidi="ar"/>
              </w:rPr>
              <w:t>执法人员</w:t>
            </w:r>
          </w:p>
        </w:tc>
        <w:tc>
          <w:tcPr>
            <w:tcW w:w="1098"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送达开始前</w:t>
            </w:r>
          </w:p>
        </w:tc>
        <w:tc>
          <w:tcPr>
            <w:tcW w:w="264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直接送达确有困难的，可以委托当地</w:t>
            </w:r>
            <w:r>
              <w:rPr>
                <w:rFonts w:hint="eastAsia" w:ascii="宋体" w:hAnsi="宋体" w:cs="宋体"/>
                <w:i w:val="0"/>
                <w:color w:val="000000"/>
                <w:kern w:val="0"/>
                <w:sz w:val="21"/>
                <w:szCs w:val="21"/>
                <w:u w:val="none"/>
                <w:lang w:val="en-US" w:eastAsia="zh-CN" w:bidi="ar"/>
              </w:rPr>
              <w:t>应急管理站</w:t>
            </w:r>
            <w:r>
              <w:rPr>
                <w:rFonts w:hint="eastAsia" w:ascii="宋体" w:hAnsi="宋体" w:eastAsia="宋体" w:cs="宋体"/>
                <w:i w:val="0"/>
                <w:color w:val="000000"/>
                <w:kern w:val="0"/>
                <w:sz w:val="21"/>
                <w:szCs w:val="21"/>
                <w:u w:val="none"/>
                <w:lang w:val="en-US" w:eastAsia="zh-CN" w:bidi="ar"/>
              </w:rPr>
              <w:t>代为送达，代为送达的</w:t>
            </w:r>
            <w:r>
              <w:rPr>
                <w:rFonts w:hint="eastAsia" w:ascii="宋体" w:hAnsi="宋体" w:cs="宋体"/>
                <w:i w:val="0"/>
                <w:color w:val="000000"/>
                <w:kern w:val="0"/>
                <w:sz w:val="21"/>
                <w:szCs w:val="21"/>
                <w:u w:val="none"/>
                <w:lang w:val="en-US" w:eastAsia="zh-CN" w:bidi="ar"/>
              </w:rPr>
              <w:t>应急管理站</w:t>
            </w:r>
            <w:r>
              <w:rPr>
                <w:rFonts w:hint="eastAsia" w:ascii="宋体" w:hAnsi="宋体" w:eastAsia="宋体" w:cs="宋体"/>
                <w:i w:val="0"/>
                <w:color w:val="000000"/>
                <w:kern w:val="0"/>
                <w:sz w:val="21"/>
                <w:szCs w:val="21"/>
                <w:u w:val="none"/>
                <w:lang w:val="en-US" w:eastAsia="zh-CN" w:bidi="ar"/>
              </w:rPr>
              <w:t>收到文书后，由2名执法人员及时交受送达人签收的过程</w:t>
            </w:r>
          </w:p>
        </w:tc>
        <w:tc>
          <w:tcPr>
            <w:tcW w:w="108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送达结束后</w:t>
            </w:r>
          </w:p>
        </w:tc>
        <w:tc>
          <w:tcPr>
            <w:tcW w:w="952"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eastAsia" w:ascii="宋体" w:hAnsi="宋体" w:eastAsia="宋体" w:cs="宋体"/>
                <w:i w:val="0"/>
                <w:color w:val="000000"/>
                <w:kern w:val="0"/>
                <w:sz w:val="21"/>
                <w:szCs w:val="21"/>
                <w:u w:val="none"/>
                <w:lang w:val="en-US" w:eastAsia="zh-CN" w:bidi="ar"/>
              </w:rPr>
            </w:pPr>
            <w:r>
              <w:rPr>
                <w:rFonts w:hint="eastAsia" w:ascii="宋体" w:hAnsi="宋体" w:eastAsia="宋体" w:cs="宋体"/>
                <w:i w:val="0"/>
                <w:color w:val="000000"/>
                <w:kern w:val="0"/>
                <w:sz w:val="21"/>
                <w:szCs w:val="21"/>
                <w:u w:val="none"/>
                <w:lang w:val="en-US" w:eastAsia="zh-CN" w:bidi="ar"/>
              </w:rPr>
              <w:t>视频监控便携设备</w:t>
            </w:r>
          </w:p>
        </w:tc>
        <w:tc>
          <w:tcPr>
            <w:tcW w:w="660" w:type="dxa"/>
            <w:tcBorders>
              <w:top w:val="single" w:color="000000" w:sz="4" w:space="0"/>
              <w:left w:val="single" w:color="000000" w:sz="4" w:space="0"/>
              <w:bottom w:val="single" w:color="000000" w:sz="4" w:space="0"/>
              <w:right w:val="single" w:color="000000" w:sz="4" w:space="0"/>
            </w:tcBorders>
            <w:vAlign w:val="center"/>
          </w:tcPr>
          <w:p>
            <w:pPr>
              <w:keepNext w:val="0"/>
              <w:keepLines w:val="0"/>
              <w:widowControl/>
              <w:suppressLineNumbers w:val="0"/>
              <w:jc w:val="left"/>
              <w:textAlignment w:val="center"/>
              <w:rPr>
                <w:rFonts w:hint="default" w:ascii="宋体" w:hAnsi="宋体" w:eastAsia="宋体" w:cs="宋体"/>
                <w:i w:val="0"/>
                <w:color w:val="000000"/>
                <w:kern w:val="0"/>
                <w:sz w:val="21"/>
                <w:szCs w:val="21"/>
                <w:u w:val="none"/>
                <w:lang w:val="en-US" w:eastAsia="zh-CN" w:bidi="ar"/>
              </w:rPr>
            </w:pPr>
          </w:p>
        </w:tc>
      </w:tr>
    </w:tbl>
    <w:p>
      <w:pPr>
        <w:rPr>
          <w:rFonts w:hint="default" w:ascii="宋体" w:hAnsi="宋体" w:eastAsia="宋体"/>
          <w:b/>
          <w:i w:val="0"/>
          <w:snapToGrid/>
          <w:color w:val="000000"/>
          <w:sz w:val="48"/>
          <w:u w:val="none"/>
          <w:lang w:eastAsia="zh-CN"/>
        </w:rPr>
      </w:pPr>
    </w:p>
    <w:sectPr>
      <w:headerReference r:id="rId3" w:type="default"/>
      <w:footerReference r:id="rId4" w:type="default"/>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Palatino Linotype">
    <w:panose1 w:val="02040502050505030304"/>
    <w:charset w:val="00"/>
    <w:family w:val="auto"/>
    <w:pitch w:val="default"/>
    <w:sig w:usb0="E0000387" w:usb1="40000013" w:usb2="00000000" w:usb3="00000000" w:csb0="2000019F" w:csb1="00000000"/>
  </w:font>
  <w:font w:name="Lucida Sans Unicode">
    <w:panose1 w:val="020B0602030504020204"/>
    <w:charset w:val="00"/>
    <w:family w:val="auto"/>
    <w:pitch w:val="default"/>
    <w:sig w:usb0="80001AFF" w:usb1="0000396B" w:usb2="00000000" w:usb3="00000000" w:csb0="0000003F" w:csb1="D7F70000"/>
  </w:font>
  <w:font w:name="Calibri">
    <w:altName w:val="Lucida Sans Unicode"/>
    <w:panose1 w:val="020F0502020204030204"/>
    <w:charset w:val="01"/>
    <w:family w:val="swiss"/>
    <w:pitch w:val="default"/>
    <w:sig w:usb0="00000000" w:usb1="00000000" w:usb2="00000001" w:usb3="00000000" w:csb0="2000019F" w:csb1="00000000"/>
  </w:font>
  <w:font w:name="仿宋">
    <w:altName w:val="仿宋_GB2312"/>
    <w:panose1 w:val="02010609060101010101"/>
    <w:charset w:val="86"/>
    <w:family w:val="auto"/>
    <w:pitch w:val="default"/>
    <w:sig w:usb0="00000000" w:usb1="00000000"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Webdings">
    <w:panose1 w:val="05030102010509060703"/>
    <w:charset w:val="02"/>
    <w:family w:val="roman"/>
    <w:pitch w:val="default"/>
    <w:sig w:usb0="00000000" w:usb1="00000000" w:usb2="00000000" w:usb3="00000000" w:csb0="80000000" w:csb1="00000000"/>
  </w:font>
  <w:font w:name="Lucida Sans Unicode">
    <w:panose1 w:val="020B0602030504020204"/>
    <w:charset w:val="01"/>
    <w:family w:val="swiss"/>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Verdana">
    <w:panose1 w:val="020B0604030504040204"/>
    <w:charset w:val="00"/>
    <w:family w:val="swiss"/>
    <w:pitch w:val="default"/>
    <w:sig w:usb0="00000287" w:usb1="00000000"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宋体"/>
    <w:panose1 w:val="03000509000000000000"/>
    <w:charset w:val="86"/>
    <w:family w:val="auto"/>
    <w:pitch w:val="default"/>
    <w:sig w:usb0="00000000" w:usb1="00000000" w:usb2="00000000" w:usb3="00000000" w:csb0="00040000" w:csb1="00000000"/>
  </w:font>
  <w:font w:name="微软雅黑">
    <w:altName w:val="黑体"/>
    <w:panose1 w:val="020B0503020204020204"/>
    <w:charset w:val="86"/>
    <w:family w:val="auto"/>
    <w:pitch w:val="default"/>
    <w:sig w:usb0="00000000" w:usb1="00000000" w:usb2="00000016" w:usb3="00000000" w:csb0="0004001F" w:csb1="00000000"/>
  </w:font>
  <w:font w:name="Tahoma">
    <w:panose1 w:val="020B0604030504040204"/>
    <w:charset w:val="00"/>
    <w:family w:val="auto"/>
    <w:pitch w:val="default"/>
    <w:sig w:usb0="61007A87" w:usb1="80000000" w:usb2="00000008" w:usb3="00000000" w:csb0="200101FF" w:csb1="20280000"/>
  </w:font>
  <w:font w:name="Courier New">
    <w:panose1 w:val="02070309020205020404"/>
    <w:charset w:val="00"/>
    <w:family w:val="modern"/>
    <w:pitch w:val="default"/>
    <w:sig w:usb0="00007A87" w:usb1="80000000" w:usb2="00000008"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 w:name="宋体 ! important">
    <w:altName w:val="宋体"/>
    <w:panose1 w:val="00000000000000000000"/>
    <w:charset w:val="00"/>
    <w:family w:val="auto"/>
    <w:pitch w:val="default"/>
    <w:sig w:usb0="00000000" w:usb1="00000000" w:usb2="00000000" w:usb3="00000000" w:csb0="00000000" w:csb1="00000000"/>
  </w:font>
  <w:font w:name="Microsoft YaHei">
    <w:altName w:val="Courier New"/>
    <w:panose1 w:val="00000000000000000000"/>
    <w:charset w:val="00"/>
    <w:family w:val="auto"/>
    <w:pitch w:val="default"/>
    <w:sig w:usb0="00000000" w:usb1="00000000" w:usb2="00000000" w:usb3="00000000" w:csb0="00000000" w:csb1="00000000"/>
  </w:font>
  <w:font w:name="MS Mincho">
    <w:altName w:val="MS UI Gothic"/>
    <w:panose1 w:val="02020609040205080304"/>
    <w:charset w:val="80"/>
    <w:family w:val="modern"/>
    <w:pitch w:val="default"/>
    <w:sig w:usb0="00000000" w:usb1="00000000" w:usb2="00000012" w:usb3="00000000" w:csb0="4002009F" w:csb1="DFD70000"/>
  </w:font>
  <w:font w:name="MS UI Gothic">
    <w:panose1 w:val="020B0600070205080204"/>
    <w:charset w:val="80"/>
    <w:family w:val="auto"/>
    <w:pitch w:val="default"/>
    <w:sig w:usb0="A00002BF" w:usb1="68C7FCFB" w:usb2="00000010" w:usb3="00000000" w:csb0="4002009F" w:csb1="DFD70000"/>
  </w:font>
  <w:font w:name="新宋体">
    <w:panose1 w:val="02010609030101010101"/>
    <w:charset w:val="86"/>
    <w:family w:val="auto"/>
    <w:pitch w:val="default"/>
    <w:sig w:usb0="00000003" w:usb1="080E0000" w:usb2="00000000"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Helvetica">
    <w:altName w:val="Arial"/>
    <w:panose1 w:val="020B0604020202020204"/>
    <w:charset w:val="00"/>
    <w:family w:val="swiss"/>
    <w:pitch w:val="default"/>
    <w:sig w:usb0="00000000" w:usb1="00000000" w:usb2="00000000" w:usb3="00000000" w:csb0="00000001" w:csb1="00000000"/>
  </w:font>
  <w:font w:name="仿宋">
    <w:altName w:val="仿宋_GB2312"/>
    <w:panose1 w:val="00000000000000000000"/>
    <w:charset w:val="00"/>
    <w:family w:val="auto"/>
    <w:pitch w:val="default"/>
    <w:sig w:usb0="00000000" w:usb1="00000000" w:usb2="00000000" w:usb3="00000000" w:csb0="00000000" w:csb1="00000000"/>
  </w:font>
  <w:font w:name="DejaVu Sans">
    <w:altName w:val="Trebuchet MS"/>
    <w:panose1 w:val="020B0603030804020204"/>
    <w:charset w:val="00"/>
    <w:family w:val="roman"/>
    <w:pitch w:val="default"/>
    <w:sig w:usb0="00000000" w:usb1="00000000" w:usb2="0A246029" w:usb3="0400200C" w:csb0="600001FF" w:csb1="DFFF0000"/>
  </w:font>
  <w:font w:name="方正黑体_GBK">
    <w:altName w:val="黑体"/>
    <w:panose1 w:val="03000509000000000000"/>
    <w:charset w:val="86"/>
    <w:family w:val="auto"/>
    <w:pitch w:val="default"/>
    <w:sig w:usb0="00000000" w:usb1="00000000" w:usb2="00000000" w:usb3="00000000" w:csb0="00040000" w:csb1="00000000"/>
  </w:font>
  <w:font w:name="方正仿宋_GBK">
    <w:altName w:val="宋体"/>
    <w:panose1 w:val="03000509000000000000"/>
    <w:charset w:val="86"/>
    <w:family w:val="auto"/>
    <w:pitch w:val="default"/>
    <w:sig w:usb0="00000000" w:usb1="00000000" w:usb2="0000000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方正仿宋简体">
    <w:altName w:val="宋体"/>
    <w:panose1 w:val="02010601030101010101"/>
    <w:charset w:val="86"/>
    <w:family w:val="auto"/>
    <w:pitch w:val="default"/>
    <w:sig w:usb0="00000000" w:usb1="00000000" w:usb2="00000000" w:usb3="00000000" w:csb0="00040000" w:csb1="00000000"/>
  </w:font>
  <w:font w:name="思源黑体 CN">
    <w:altName w:val="黑体"/>
    <w:panose1 w:val="020B0600000000000000"/>
    <w:charset w:val="86"/>
    <w:family w:val="auto"/>
    <w:pitch w:val="default"/>
    <w:sig w:usb0="00000000" w:usb1="00000000" w:usb2="00000016" w:usb3="00000000" w:csb0="60060107" w:csb1="00000000"/>
  </w:font>
  <w:font w:name="Trebuchet MS">
    <w:panose1 w:val="020B0603020202020204"/>
    <w:charset w:val="00"/>
    <w:family w:val="auto"/>
    <w:pitch w:val="default"/>
    <w:sig w:usb0="00000287" w:usb1="00000000" w:usb2="00000000" w:usb3="00000000" w:csb0="2000009F" w:csb1="00000000"/>
  </w:font>
  <w:font w:name="MS PGothic">
    <w:panose1 w:val="020B0600070205080204"/>
    <w:charset w:val="80"/>
    <w:family w:val="auto"/>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921E0C"/>
    <w:rsid w:val="0EC729CA"/>
    <w:rsid w:val="367845C4"/>
    <w:rsid w:val="36EE31C2"/>
    <w:rsid w:val="4E921E0C"/>
    <w:rsid w:val="52F736D1"/>
    <w:rsid w:val="5A1077A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FollowedHyperlink"/>
    <w:basedOn w:val="4"/>
    <w:qFormat/>
    <w:uiPriority w:val="0"/>
    <w:rPr>
      <w:color w:val="333333"/>
      <w:sz w:val="18"/>
      <w:szCs w:val="18"/>
      <w:u w:val="none"/>
    </w:rPr>
  </w:style>
  <w:style w:type="character" w:styleId="6">
    <w:name w:val="Hyperlink"/>
    <w:basedOn w:val="4"/>
    <w:qFormat/>
    <w:uiPriority w:val="0"/>
    <w:rPr>
      <w:color w:val="333333"/>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2020-01-02T08:40:00Z</dcterms:created>
  <dc:creator>Administrator</dc:creator>
  <cp:lastModifiedBy>Administrator</cp:lastModifiedBy>
  <dcterms:modified xsi:type="dcterms:W3CDTF">2020-10-30T02:08:25Z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