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rPr>
          <w:rFonts w:eastAsia="方正小标宋简体"/>
          <w:sz w:val="44"/>
          <w:szCs w:val="44"/>
        </w:rPr>
      </w:pPr>
    </w:p>
    <w:tbl>
      <w:tblPr>
        <w:tblStyle w:val="3"/>
        <w:tblW w:w="14621" w:type="dxa"/>
        <w:tblInd w:w="-33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791"/>
        <w:gridCol w:w="1440"/>
        <w:gridCol w:w="4096"/>
        <w:gridCol w:w="2865"/>
        <w:gridCol w:w="1170"/>
        <w:gridCol w:w="1215"/>
        <w:gridCol w:w="1155"/>
        <w:gridCol w:w="1185"/>
        <w:gridCol w:w="660"/>
        <w:gridCol w:w="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1260" w:hRule="atLeast"/>
        </w:trPr>
        <w:tc>
          <w:tcPr>
            <w:tcW w:w="14577" w:type="dxa"/>
            <w:gridSpan w:val="9"/>
            <w:vAlign w:val="center"/>
          </w:tcPr>
          <w:p>
            <w:pPr>
              <w:spacing w:line="576" w:lineRule="exact"/>
              <w:rPr>
                <w:rFonts w:eastAsia="方正小标宋简体"/>
                <w:sz w:val="44"/>
                <w:szCs w:val="44"/>
              </w:rPr>
            </w:pPr>
          </w:p>
          <w:p>
            <w:pPr>
              <w:spacing w:line="576" w:lineRule="exact"/>
              <w:rPr>
                <w:rFonts w:eastAsia="方正小标宋简体"/>
                <w:sz w:val="44"/>
                <w:szCs w:val="44"/>
              </w:rPr>
            </w:pPr>
            <w:bookmarkStart w:id="0" w:name="_GoBack"/>
            <w:bookmarkEnd w:id="0"/>
          </w:p>
          <w:p>
            <w:pPr>
              <w:spacing w:line="576" w:lineRule="exact"/>
              <w:rPr>
                <w:rFonts w:eastAsia="方正小标宋简体"/>
                <w:sz w:val="44"/>
                <w:szCs w:val="44"/>
              </w:rPr>
            </w:pPr>
          </w:p>
          <w:p>
            <w:pPr>
              <w:jc w:val="center"/>
              <w:rPr>
                <w:rFonts w:hint="eastAsia" w:eastAsia="方正小标宋简体"/>
                <w:sz w:val="52"/>
                <w:szCs w:val="52"/>
              </w:rPr>
            </w:pPr>
            <w:r>
              <w:rPr>
                <w:rFonts w:hint="eastAsia" w:eastAsia="方正小标宋简体"/>
                <w:sz w:val="52"/>
                <w:szCs w:val="52"/>
              </w:rPr>
              <w:t>夏县</w:t>
            </w:r>
            <w:r>
              <w:rPr>
                <w:rFonts w:hint="eastAsia" w:eastAsia="方正小标宋简体"/>
                <w:sz w:val="52"/>
                <w:szCs w:val="52"/>
                <w:lang w:eastAsia="zh-CN"/>
              </w:rPr>
              <w:t>应急管理</w:t>
            </w:r>
            <w:r>
              <w:rPr>
                <w:rFonts w:hint="eastAsia" w:eastAsia="方正小标宋简体"/>
                <w:sz w:val="52"/>
                <w:szCs w:val="52"/>
              </w:rPr>
              <w:t>局</w:t>
            </w:r>
          </w:p>
          <w:p>
            <w:pPr>
              <w:jc w:val="center"/>
              <w:rPr>
                <w:rFonts w:hint="eastAsia" w:eastAsia="方正小标宋简体"/>
                <w:sz w:val="52"/>
                <w:szCs w:val="52"/>
              </w:rPr>
            </w:pPr>
            <w:r>
              <w:rPr>
                <w:rFonts w:hint="default" w:eastAsia="方正小标宋简体"/>
                <w:sz w:val="52"/>
                <w:szCs w:val="52"/>
                <w:lang w:eastAsia="zh-CN"/>
              </w:rPr>
              <w:t>随机抽查事项清单</w:t>
            </w:r>
          </w:p>
          <w:p>
            <w:pPr>
              <w:rPr>
                <w:rFonts w:eastAsia="方正小标宋简体"/>
                <w:sz w:val="48"/>
                <w:szCs w:val="48"/>
              </w:rPr>
            </w:pPr>
          </w:p>
          <w:p>
            <w:pPr>
              <w:rPr>
                <w:rFonts w:eastAsia="方正小标宋简体"/>
                <w:sz w:val="48"/>
                <w:szCs w:val="48"/>
              </w:rPr>
            </w:pPr>
          </w:p>
          <w:p>
            <w:pPr>
              <w:spacing w:line="576" w:lineRule="exact"/>
              <w:rPr>
                <w:rFonts w:eastAsia="方正小标宋简体"/>
                <w:sz w:val="44"/>
                <w:szCs w:val="44"/>
              </w:rPr>
            </w:pPr>
          </w:p>
          <w:p>
            <w:pPr>
              <w:spacing w:line="576" w:lineRule="exact"/>
              <w:jc w:val="center"/>
              <w:rPr>
                <w:rFonts w:hint="eastAsia" w:eastAsia="楷体_GB2312"/>
                <w:sz w:val="36"/>
                <w:szCs w:val="36"/>
              </w:rPr>
            </w:pPr>
            <w:r>
              <w:rPr>
                <w:rFonts w:hint="eastAsia" w:eastAsia="楷体_GB2312"/>
                <w:sz w:val="36"/>
                <w:szCs w:val="36"/>
              </w:rPr>
              <w:t>夏县</w:t>
            </w:r>
            <w:r>
              <w:rPr>
                <w:rFonts w:hint="eastAsia" w:eastAsia="楷体_GB2312"/>
                <w:sz w:val="36"/>
                <w:szCs w:val="36"/>
                <w:lang w:eastAsia="zh-CN"/>
              </w:rPr>
              <w:t>应急管理</w:t>
            </w:r>
            <w:r>
              <w:rPr>
                <w:rFonts w:hint="eastAsia" w:eastAsia="楷体_GB2312"/>
                <w:sz w:val="36"/>
                <w:szCs w:val="36"/>
              </w:rPr>
              <w:t>局</w:t>
            </w:r>
          </w:p>
          <w:p>
            <w:pPr>
              <w:spacing w:line="576" w:lineRule="exact"/>
              <w:jc w:val="center"/>
              <w:rPr>
                <w:rFonts w:eastAsia="方正小标宋简体"/>
                <w:sz w:val="44"/>
                <w:szCs w:val="44"/>
              </w:rPr>
            </w:pPr>
            <w:r>
              <w:rPr>
                <w:rFonts w:eastAsia="楷体_GB2312"/>
                <w:sz w:val="36"/>
                <w:szCs w:val="36"/>
              </w:rPr>
              <w:t>201</w:t>
            </w:r>
            <w:r>
              <w:rPr>
                <w:rFonts w:hint="eastAsia" w:eastAsia="楷体_GB2312"/>
                <w:sz w:val="36"/>
                <w:szCs w:val="36"/>
                <w:lang w:val="en-US" w:eastAsia="zh-CN"/>
              </w:rPr>
              <w:t>9</w:t>
            </w:r>
            <w:r>
              <w:rPr>
                <w:rFonts w:eastAsia="楷体_GB2312"/>
                <w:sz w:val="36"/>
                <w:szCs w:val="36"/>
              </w:rPr>
              <w:t>年</w:t>
            </w:r>
            <w:r>
              <w:rPr>
                <w:rFonts w:hint="eastAsia" w:eastAsia="楷体_GB2312"/>
                <w:sz w:val="36"/>
                <w:szCs w:val="36"/>
                <w:lang w:val="en-US" w:eastAsia="zh-CN"/>
              </w:rPr>
              <w:t>12</w:t>
            </w:r>
            <w:r>
              <w:rPr>
                <w:rFonts w:eastAsia="楷体_GB2312"/>
                <w:sz w:val="36"/>
                <w:szCs w:val="36"/>
              </w:rPr>
              <w:t>月</w:t>
            </w:r>
          </w:p>
          <w:p>
            <w:pPr>
              <w:kinsoku/>
              <w:autoSpaceDE/>
              <w:autoSpaceDN w:val="0"/>
              <w:jc w:val="center"/>
              <w:textAlignment w:val="center"/>
              <w:rPr>
                <w:rFonts w:hint="default" w:ascii="宋体" w:hAnsi="宋体" w:eastAsia="宋体"/>
                <w:b/>
                <w:i w:val="0"/>
                <w:snapToGrid/>
                <w:color w:val="000000"/>
                <w:sz w:val="48"/>
                <w:u w:val="none"/>
                <w:lang w:eastAsia="zh-CN"/>
              </w:rPr>
            </w:pPr>
            <w:r>
              <w:rPr>
                <w:rFonts w:hint="eastAsia" w:ascii="宋体" w:hAnsi="宋体" w:eastAsia="宋体"/>
                <w:b/>
                <w:i w:val="0"/>
                <w:snapToGrid/>
                <w:color w:val="000000"/>
                <w:sz w:val="48"/>
                <w:u w:val="none"/>
                <w:lang w:eastAsia="zh-CN"/>
              </w:rPr>
              <w:t>夏县应急管理局</w:t>
            </w:r>
            <w:r>
              <w:rPr>
                <w:rFonts w:hint="default" w:ascii="宋体" w:hAnsi="宋体" w:eastAsia="宋体"/>
                <w:b/>
                <w:i w:val="0"/>
                <w:snapToGrid/>
                <w:color w:val="000000"/>
                <w:sz w:val="48"/>
                <w:u w:val="none"/>
                <w:lang w:eastAsia="zh-CN"/>
              </w:rPr>
              <w:t>随机抽查事项清单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680" w:hRule="atLeast"/>
        </w:trPr>
        <w:tc>
          <w:tcPr>
            <w:tcW w:w="791"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序号</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抽查事项</w:t>
            </w:r>
          </w:p>
        </w:tc>
        <w:tc>
          <w:tcPr>
            <w:tcW w:w="4096"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检查依据</w:t>
            </w:r>
          </w:p>
        </w:tc>
        <w:tc>
          <w:tcPr>
            <w:tcW w:w="286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检查内容</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检查方式</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适用对象</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抽查比例</w:t>
            </w: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抽查频次</w:t>
            </w: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规章制度检查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《安全生产法》第十八条。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安全生产责任制和安全生产规章制度、操作规程制定、执行和适时修改情况。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对小微型以下一般生产经营单位每年30%；</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对规模以上一般生产经营单位100%；</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对危险性较大或存在重大事故隐患的单位的产经营单位100%</w:t>
            </w:r>
          </w:p>
        </w:tc>
        <w:tc>
          <w:tcPr>
            <w:tcW w:w="1185"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对规模以上一般生产经营单位每年一次；</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对危险性较大的产经营单位每半年一次；</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对存在重大事故隐患的单位每半年至少进行一次（下同）</w:t>
            </w:r>
          </w:p>
        </w:tc>
        <w:tc>
          <w:tcPr>
            <w:tcW w:w="660"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安全投入检查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《安全生产法》第十八条、第二十条。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安全投入及劳动防护用品经费、安全培训经费保障情况。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118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66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安全机构检查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《安全生产法》第二十一条 。</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安全生产管理机构设置、安全生产管理人员配备情况。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118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66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人员培训检查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十八条、第二十四条、第二十五条、第二十六条；《生产经营单位安全培训规定》（原国家安全监管总局令第3号）；《安全生产培训管理办法》（原国家安全监管总局令第44号）《河北省安全生产条例》第十二条、二十三条、二十四条、三十三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从业人员安全生产教育和培训计划、实施及档案管理情况。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118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66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35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特种作业检查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二十七条；《生产经营单位安全培训规定》（原国家安全监管总局令第3号）；《特种作业人员安全技术培训考核管理规定》（原国家安全监管总局令第30号）；《安全生产培训管理办法》（原国家安全监管总局令第44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特种作业人员持证上岗、培训及档案情况。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书面检查、信息管理系统</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1185"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660"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三同时检查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《安全生产法》第二十八、第二十九条、第三十条、第三十一条；《建设项目安全设施“三同时”监督管理办法》（原国家安全监管总局令第36号）。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建设项目安全评价及建设项目安全设施“三同时”情况。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警示标示检查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《安全生产法》第三十二条。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安全警示标志设置情况。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安全设备检查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《安全生产法》第三十三条。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安全设备设计、制造、安装、使用、检测、维修、改造、报废情况。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重大危险源检查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《安全生产法》第三十七条；《危险化学品重大危险源监督管理暂行规定》(国家安全生产监督管理总局令第40号）。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重大危险源安全管理情况。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安全生产综合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隐患排查检查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《安全生产法》第三十八条；《安全生产事故隐患排查治理暂行规定》（原国家安全监管总局令第16号）。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事故隐患排查治理情况。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11</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pacing w:val="-11"/>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w:t>
            </w:r>
            <w:r>
              <w:rPr>
                <w:rFonts w:hint="eastAsia" w:ascii="宋体" w:hAnsi="宋体" w:eastAsia="宋体" w:cs="宋体"/>
                <w:i w:val="0"/>
                <w:color w:val="000000"/>
                <w:spacing w:val="-11"/>
                <w:kern w:val="0"/>
                <w:sz w:val="18"/>
                <w:szCs w:val="18"/>
                <w:u w:val="none"/>
                <w:lang w:val="en-US" w:eastAsia="zh-CN" w:bidi="ar"/>
              </w:rPr>
              <w:t>安全生产综合</w:t>
            </w:r>
          </w:p>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Style w:val="4"/>
                <w:lang w:val="en-US" w:eastAsia="zh-CN" w:bidi="ar"/>
              </w:rPr>
              <w:t>员工宿舍检查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《安全生产法》第三十九条。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生产经营场所与员工宿舍安全距离情况以及生产经营场所和员工宿舍安全出口情况。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pacing w:val="-11"/>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w:t>
            </w:r>
            <w:r>
              <w:rPr>
                <w:rFonts w:hint="eastAsia" w:ascii="宋体" w:hAnsi="宋体" w:eastAsia="宋体" w:cs="宋体"/>
                <w:i w:val="0"/>
                <w:color w:val="000000"/>
                <w:spacing w:val="-11"/>
                <w:kern w:val="0"/>
                <w:sz w:val="18"/>
                <w:szCs w:val="18"/>
                <w:u w:val="none"/>
                <w:lang w:val="en-US" w:eastAsia="zh-CN" w:bidi="ar"/>
              </w:rPr>
              <w:t>安全生产综合</w:t>
            </w:r>
          </w:p>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Style w:val="4"/>
                <w:lang w:val="en-US" w:eastAsia="zh-CN" w:bidi="ar"/>
              </w:rPr>
              <w:t>危险作业检查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《安全生产法》第四十条。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危险作业现场安全管理情况。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13</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pacing w:val="-20"/>
                <w:kern w:val="0"/>
                <w:sz w:val="18"/>
                <w:szCs w:val="18"/>
                <w:u w:val="none"/>
                <w:lang w:val="en-US" w:eastAsia="zh-CN" w:bidi="ar"/>
              </w:rPr>
            </w:pPr>
            <w:r>
              <w:rPr>
                <w:rFonts w:hint="eastAsia" w:ascii="宋体" w:hAnsi="宋体" w:eastAsia="宋体" w:cs="宋体"/>
                <w:i w:val="0"/>
                <w:color w:val="000000"/>
                <w:spacing w:val="-20"/>
                <w:kern w:val="0"/>
                <w:sz w:val="18"/>
                <w:szCs w:val="18"/>
                <w:u w:val="none"/>
                <w:lang w:val="en-US" w:eastAsia="zh-CN" w:bidi="ar"/>
              </w:rPr>
              <w:t>安全生产综合</w:t>
            </w:r>
          </w:p>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spacing w:val="-11"/>
                <w:kern w:val="0"/>
                <w:sz w:val="18"/>
                <w:szCs w:val="18"/>
                <w:u w:val="none"/>
                <w:lang w:val="en-US" w:eastAsia="zh-CN" w:bidi="ar"/>
              </w:rPr>
              <w:t xml:space="preserve"> </w:t>
            </w:r>
            <w:r>
              <w:rPr>
                <w:rStyle w:val="4"/>
                <w:spacing w:val="-11"/>
                <w:lang w:val="en-US" w:eastAsia="zh-CN" w:bidi="ar"/>
              </w:rPr>
              <w:t>劳动保护检查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《安全生产法》第四十二条。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劳动防护用品配备、使用管理情况。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14</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pacing w:val="-11"/>
                <w:kern w:val="0"/>
                <w:sz w:val="18"/>
                <w:szCs w:val="18"/>
                <w:u w:val="none"/>
                <w:lang w:val="en-US" w:eastAsia="zh-CN" w:bidi="ar"/>
              </w:rPr>
            </w:pPr>
            <w:r>
              <w:rPr>
                <w:rFonts w:hint="eastAsia" w:ascii="宋体" w:hAnsi="宋体" w:eastAsia="宋体" w:cs="宋体"/>
                <w:i w:val="0"/>
                <w:color w:val="000000"/>
                <w:spacing w:val="-11"/>
                <w:kern w:val="0"/>
                <w:sz w:val="18"/>
                <w:szCs w:val="18"/>
                <w:u w:val="none"/>
                <w:lang w:val="en-US" w:eastAsia="zh-CN" w:bidi="ar"/>
              </w:rPr>
              <w:t>安全生产综合</w:t>
            </w:r>
          </w:p>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发包出租检查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《安全生产法》第四十六条。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生产经营项目、场所、设备发包、出租管理情况。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15</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pacing w:val="-11"/>
                <w:kern w:val="0"/>
                <w:sz w:val="18"/>
                <w:szCs w:val="18"/>
                <w:u w:val="none"/>
                <w:lang w:val="en-US" w:eastAsia="zh-CN" w:bidi="ar"/>
              </w:rPr>
            </w:pPr>
            <w:r>
              <w:rPr>
                <w:rFonts w:hint="eastAsia" w:ascii="宋体" w:hAnsi="宋体" w:eastAsia="宋体" w:cs="宋体"/>
                <w:i w:val="0"/>
                <w:color w:val="000000"/>
                <w:spacing w:val="-11"/>
                <w:kern w:val="0"/>
                <w:sz w:val="18"/>
                <w:szCs w:val="18"/>
                <w:u w:val="none"/>
                <w:lang w:val="en-US" w:eastAsia="zh-CN" w:bidi="ar"/>
              </w:rPr>
              <w:t>安全生产综合</w:t>
            </w:r>
          </w:p>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应急管理检查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《安全生产法》第十八条、第七十八条、第七十九条；《生产安全事故应急预案管理办法》（原国家安全监管总局令第88号）；《生产安全事故应急预案管理办法》第二十六条。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应急预案编制、演练和应急组织人员设置及应急救援器材、设备及物质配备情况；生产经营单位应急预案按规定备案。</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pacing w:val="0"/>
                <w:kern w:val="0"/>
                <w:sz w:val="18"/>
                <w:szCs w:val="18"/>
                <w:u w:val="none"/>
                <w:lang w:val="en-US" w:eastAsia="zh-CN" w:bidi="ar"/>
              </w:rPr>
            </w:pPr>
            <w:r>
              <w:rPr>
                <w:rFonts w:hint="eastAsia" w:ascii="宋体" w:hAnsi="宋体" w:eastAsia="宋体" w:cs="宋体"/>
                <w:i w:val="0"/>
                <w:color w:val="000000"/>
                <w:spacing w:val="0"/>
                <w:kern w:val="0"/>
                <w:sz w:val="18"/>
                <w:szCs w:val="18"/>
                <w:u w:val="none"/>
                <w:lang w:val="en-US" w:eastAsia="zh-CN" w:bidi="ar"/>
              </w:rPr>
              <w:t>安全生产综合</w:t>
            </w:r>
          </w:p>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spacing w:val="0"/>
                <w:kern w:val="0"/>
                <w:sz w:val="18"/>
                <w:szCs w:val="18"/>
                <w:u w:val="none"/>
                <w:lang w:val="en-US" w:eastAsia="zh-CN" w:bidi="ar"/>
              </w:rPr>
              <w:t xml:space="preserve"> </w:t>
            </w:r>
            <w:r>
              <w:rPr>
                <w:rStyle w:val="4"/>
                <w:spacing w:val="0"/>
                <w:sz w:val="18"/>
                <w:szCs w:val="18"/>
                <w:lang w:val="en-US" w:eastAsia="zh-CN" w:bidi="ar"/>
              </w:rPr>
              <w:t>事故后整改检查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《生产安全事故报告和调查处理条例》第二十六条、第三十三条、第三十五条、</w:t>
            </w:r>
            <w:r>
              <w:rPr>
                <w:rStyle w:val="5"/>
                <w:lang w:val="en-US" w:eastAsia="zh-CN" w:bidi="ar"/>
              </w:rPr>
              <w:t xml:space="preserve"> </w:t>
            </w:r>
            <w:r>
              <w:rPr>
                <w:rStyle w:val="4"/>
                <w:lang w:val="en-US" w:eastAsia="zh-CN" w:bidi="ar"/>
              </w:rPr>
              <w:t>第三十六条、第三十七条、第三十八条。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b w:val="0"/>
                <w:i w:val="0"/>
                <w:snapToGrid/>
                <w:color w:val="000000"/>
                <w:sz w:val="22"/>
                <w:u w:val="none"/>
                <w:lang w:eastAsia="zh-CN"/>
              </w:rPr>
            </w:pPr>
            <w:r>
              <w:rPr>
                <w:rStyle w:val="6"/>
                <w:lang w:val="en-US" w:eastAsia="zh-CN" w:bidi="ar"/>
              </w:rPr>
              <w:t>吸取事故教训，督促并落实事故防范整改措施情况。一、有关生产经营单位及其相关人员违反本项规定的，针对所涉及的违法行为和事故隐患，依照《安全生产法》等法律法规的规定处理，并按有关规定从重处罚。二、落实事故防范整改措施期间，每年检查一般不少于</w:t>
            </w:r>
            <w:r>
              <w:rPr>
                <w:rStyle w:val="7"/>
                <w:rFonts w:eastAsia="宋体"/>
                <w:lang w:val="en-US" w:eastAsia="zh-CN" w:bidi="ar"/>
              </w:rPr>
              <w:t>1</w:t>
            </w:r>
            <w:r>
              <w:rPr>
                <w:rStyle w:val="6"/>
                <w:lang w:val="en-US" w:eastAsia="zh-CN" w:bidi="ar"/>
              </w:rPr>
              <w:t>次。</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生产经营单位和场所</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17</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spacing w:val="-6"/>
                <w:kern w:val="0"/>
                <w:sz w:val="18"/>
                <w:szCs w:val="18"/>
                <w:u w:val="none"/>
                <w:lang w:val="en-US" w:eastAsia="zh-CN" w:bidi="ar"/>
              </w:rPr>
              <w:t xml:space="preserve"> 安全生产综合</w:t>
            </w:r>
            <w:r>
              <w:rPr>
                <w:rStyle w:val="4"/>
                <w:spacing w:val="-6"/>
                <w:lang w:val="en-US" w:eastAsia="zh-CN" w:bidi="ar"/>
              </w:rPr>
              <w:t>中介机构检查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《安全生产法》第六十九条；《安全评价机构管理规定》（原国家安全监管总局令第22号）；《安全生产检测检验机构管理规定》（原国家安全监管总局令第12号）。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安全评价机构资质条件保持及过程控制、安全生产检测检验机构资质条件保持及质量管理体系执行情况。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spacing w:val="-6"/>
                <w:kern w:val="0"/>
                <w:sz w:val="18"/>
                <w:szCs w:val="18"/>
                <w:u w:val="none"/>
                <w:lang w:val="en-US" w:eastAsia="zh-CN" w:bidi="ar"/>
              </w:rPr>
              <w:t>安全生产</w:t>
            </w:r>
            <w:r>
              <w:rPr>
                <w:rStyle w:val="4"/>
                <w:spacing w:val="-6"/>
                <w:lang w:val="en-US" w:eastAsia="zh-CN" w:bidi="ar"/>
              </w:rPr>
              <w:t>中介机构</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非煤矿山类通用检查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《安全生产法》第二十九条、第三十条。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基建改扩建矿山设计审查和预评价报告编制情况。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19</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非煤矿山类通用检查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《安全生产许可证条例》第二条。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证照齐全情况。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非煤矿山类通用检查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《安全生产法》第二十一条、第二十五条。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安全管理机构设置、从业人员培训情况。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21</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非煤矿山类通用检查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《安全生产法》第二十四条、第二十七条。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主要负责人、安全管理人员考核合格和特种作业人员持证上岗情况。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书面检查、信息管理系统</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22</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非煤矿山类通用检查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《安全生产法》第二十条。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安全投入情况。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23</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非煤矿山类通用检查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《安全生产法》第三十五条。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淘汰危险安全生产工艺、设备情况。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24</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非煤矿山类通用检查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《金属非金属矿山安全规程》（</w:t>
            </w:r>
            <w:r>
              <w:rPr>
                <w:rStyle w:val="5"/>
                <w:lang w:val="en-US" w:eastAsia="zh-CN" w:bidi="ar"/>
              </w:rPr>
              <w:t>GB16423-2006</w:t>
            </w:r>
            <w:r>
              <w:rPr>
                <w:rStyle w:val="4"/>
                <w:lang w:val="en-US" w:eastAsia="zh-CN" w:bidi="ar"/>
              </w:rPr>
              <w:t>）第</w:t>
            </w:r>
            <w:r>
              <w:rPr>
                <w:rStyle w:val="5"/>
                <w:lang w:val="en-US" w:eastAsia="zh-CN" w:bidi="ar"/>
              </w:rPr>
              <w:t>4</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图纸真实性情况。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25</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非煤矿山类通用检查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《安全生产法》第七十八条、第七十九条。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应急救援队伍建立、应急演练和应急装备、物资配备情况。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26</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非煤矿山类通用检查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《金属非金属地下矿山企业领导带班下井及监督检查暂行规定》（原国家安全监管总局令第34号）。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矿领导下井带班情况。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27</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非煤矿山类</w:t>
            </w:r>
          </w:p>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地下矿山检查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《矿山安全法》第十条；《金属非金属矿山安全规程》（</w:t>
            </w:r>
            <w:r>
              <w:rPr>
                <w:rStyle w:val="5"/>
                <w:lang w:val="en-US" w:eastAsia="zh-CN" w:bidi="ar"/>
              </w:rPr>
              <w:t>GB16423-2006</w:t>
            </w:r>
            <w:r>
              <w:rPr>
                <w:rStyle w:val="4"/>
                <w:lang w:val="en-US" w:eastAsia="zh-CN" w:bidi="ar"/>
              </w:rPr>
              <w:t>）第</w:t>
            </w:r>
            <w:r>
              <w:rPr>
                <w:rStyle w:val="5"/>
                <w:lang w:val="en-US" w:eastAsia="zh-CN" w:bidi="ar"/>
              </w:rPr>
              <w:t>6</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安全出口情况。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地下矿山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28</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非煤矿山类地下矿山检查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《金属非金属矿山安全规程》（</w:t>
            </w:r>
            <w:r>
              <w:rPr>
                <w:rStyle w:val="5"/>
                <w:lang w:val="en-US" w:eastAsia="zh-CN" w:bidi="ar"/>
              </w:rPr>
              <w:t>GB16423-2006</w:t>
            </w:r>
            <w:r>
              <w:rPr>
                <w:rStyle w:val="4"/>
                <w:lang w:val="en-US" w:eastAsia="zh-CN" w:bidi="ar"/>
              </w:rPr>
              <w:t>）第</w:t>
            </w:r>
            <w:r>
              <w:rPr>
                <w:rStyle w:val="5"/>
                <w:lang w:val="en-US" w:eastAsia="zh-CN" w:bidi="ar"/>
              </w:rPr>
              <w:t>6</w:t>
            </w:r>
            <w:r>
              <w:rPr>
                <w:rStyle w:val="4"/>
                <w:lang w:val="en-US" w:eastAsia="zh-CN" w:bidi="ar"/>
              </w:rPr>
              <w:t>章；《金属非金属地下矿山通风技术规范</w:t>
            </w:r>
            <w:r>
              <w:rPr>
                <w:rStyle w:val="5"/>
                <w:lang w:val="en-US" w:eastAsia="zh-CN" w:bidi="ar"/>
              </w:rPr>
              <w:t xml:space="preserve"> </w:t>
            </w:r>
            <w:r>
              <w:rPr>
                <w:rStyle w:val="4"/>
                <w:lang w:val="en-US" w:eastAsia="zh-CN" w:bidi="ar"/>
              </w:rPr>
              <w:t>通风系统》（</w:t>
            </w:r>
            <w:r>
              <w:rPr>
                <w:rStyle w:val="5"/>
                <w:lang w:val="en-US" w:eastAsia="zh-CN" w:bidi="ar"/>
              </w:rPr>
              <w:t>AQ2013.1-2008</w:t>
            </w:r>
            <w:r>
              <w:rPr>
                <w:rStyle w:val="4"/>
                <w:lang w:val="en-US" w:eastAsia="zh-CN" w:bidi="ar"/>
              </w:rPr>
              <w:t>）第</w:t>
            </w:r>
            <w:r>
              <w:rPr>
                <w:rStyle w:val="5"/>
                <w:lang w:val="en-US" w:eastAsia="zh-CN" w:bidi="ar"/>
              </w:rPr>
              <w:t>6</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主通风机运行监控情况。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地下矿山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29</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非煤矿山类地下矿山检查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《金属非金属地下矿山紧急避险系统建设规范》（</w:t>
            </w:r>
            <w:r>
              <w:rPr>
                <w:rStyle w:val="5"/>
                <w:lang w:val="en-US" w:eastAsia="zh-CN" w:bidi="ar"/>
              </w:rPr>
              <w:t>AQ2033-2011</w:t>
            </w:r>
            <w:r>
              <w:rPr>
                <w:rStyle w:val="4"/>
                <w:lang w:val="en-US" w:eastAsia="zh-CN" w:bidi="ar"/>
              </w:rPr>
              <w:t>）第</w:t>
            </w:r>
            <w:r>
              <w:rPr>
                <w:rStyle w:val="5"/>
                <w:lang w:val="en-US" w:eastAsia="zh-CN" w:bidi="ar"/>
              </w:rPr>
              <w:t>4</w:t>
            </w:r>
            <w:r>
              <w:rPr>
                <w:rStyle w:val="4"/>
                <w:lang w:val="en-US" w:eastAsia="zh-CN" w:bidi="ar"/>
              </w:rPr>
              <w:t>章；《金属非金属地下矿山监测监控系统建设规范》（</w:t>
            </w:r>
            <w:r>
              <w:rPr>
                <w:rStyle w:val="5"/>
                <w:lang w:val="en-US" w:eastAsia="zh-CN" w:bidi="ar"/>
              </w:rPr>
              <w:t>AQ2031-2011</w:t>
            </w:r>
            <w:r>
              <w:rPr>
                <w:rStyle w:val="4"/>
                <w:lang w:val="en-US" w:eastAsia="zh-CN" w:bidi="ar"/>
              </w:rPr>
              <w:t>）第</w:t>
            </w:r>
            <w:r>
              <w:rPr>
                <w:rStyle w:val="5"/>
                <w:lang w:val="en-US" w:eastAsia="zh-CN" w:bidi="ar"/>
              </w:rPr>
              <w:t>5</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自救器和便携式气体检测仪配备情况。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地下矿山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非煤矿山类地下矿山检查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《金属非金属地下矿山人员定位系统建设规范》（</w:t>
            </w:r>
            <w:r>
              <w:rPr>
                <w:rStyle w:val="5"/>
                <w:lang w:val="en-US" w:eastAsia="zh-CN" w:bidi="ar"/>
              </w:rPr>
              <w:t>AQ2032-2011</w:t>
            </w:r>
            <w:r>
              <w:rPr>
                <w:rStyle w:val="4"/>
                <w:lang w:val="en-US" w:eastAsia="zh-CN" w:bidi="ar"/>
              </w:rPr>
              <w:t>）第</w:t>
            </w:r>
            <w:r>
              <w:rPr>
                <w:rStyle w:val="5"/>
                <w:lang w:val="en-US" w:eastAsia="zh-CN" w:bidi="ar"/>
              </w:rPr>
              <w:t>4</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井下人员定位系统运行情况。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地下矿山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31</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非煤矿山类地下矿山检查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《金属非金属矿山安全规程》（</w:t>
            </w:r>
            <w:r>
              <w:rPr>
                <w:rStyle w:val="5"/>
                <w:lang w:val="en-US" w:eastAsia="zh-CN" w:bidi="ar"/>
              </w:rPr>
              <w:t>GB16423-2006</w:t>
            </w:r>
            <w:r>
              <w:rPr>
                <w:rStyle w:val="4"/>
                <w:lang w:val="en-US" w:eastAsia="zh-CN" w:bidi="ar"/>
              </w:rPr>
              <w:t>）第</w:t>
            </w:r>
            <w:r>
              <w:rPr>
                <w:rStyle w:val="5"/>
                <w:lang w:val="en-US" w:eastAsia="zh-CN" w:bidi="ar"/>
              </w:rPr>
              <w:t>6</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顶板监测管控和采空区普查、治理、监测情况。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地下矿山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32</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非煤矿山类地下矿山检查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《金属非金属矿山安全规程》（</w:t>
            </w:r>
            <w:r>
              <w:rPr>
                <w:rStyle w:val="5"/>
                <w:lang w:val="en-US" w:eastAsia="zh-CN" w:bidi="ar"/>
              </w:rPr>
              <w:t>GB16423-2006</w:t>
            </w:r>
            <w:r>
              <w:rPr>
                <w:rStyle w:val="4"/>
                <w:lang w:val="en-US" w:eastAsia="zh-CN" w:bidi="ar"/>
              </w:rPr>
              <w:t>）第</w:t>
            </w:r>
            <w:r>
              <w:rPr>
                <w:rStyle w:val="5"/>
                <w:lang w:val="en-US" w:eastAsia="zh-CN" w:bidi="ar"/>
              </w:rPr>
              <w:t>6</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探放水制度落实、水害隐患治理情况。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地下矿山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33</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非煤矿山类地下矿山检查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《金属非金属矿山安全规程》（</w:t>
            </w:r>
            <w:r>
              <w:rPr>
                <w:rStyle w:val="5"/>
                <w:lang w:val="en-US" w:eastAsia="zh-CN" w:bidi="ar"/>
              </w:rPr>
              <w:t>GB16423-2006</w:t>
            </w:r>
            <w:r>
              <w:rPr>
                <w:rStyle w:val="4"/>
                <w:lang w:val="en-US" w:eastAsia="zh-CN" w:bidi="ar"/>
              </w:rPr>
              <w:t>）第</w:t>
            </w:r>
            <w:r>
              <w:rPr>
                <w:rStyle w:val="5"/>
                <w:lang w:val="en-US" w:eastAsia="zh-CN" w:bidi="ar"/>
              </w:rPr>
              <w:t>6</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提升设备定期检测检验情况。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地下矿山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34</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非煤矿山类露天矿山检查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《小型露天采石场安全管理与监督检查规定》（原国家安全监管总局令第39号）；《爆破安全规程》（GB6722-2014）第13章。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爆破安全距离。</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露天矿山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35</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非煤矿山类露天矿山检查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《小型露天采石场安全管理与监督检查规定》（国家安全监管总局令第</w:t>
            </w:r>
            <w:r>
              <w:rPr>
                <w:rStyle w:val="5"/>
                <w:lang w:val="en-US" w:eastAsia="zh-CN" w:bidi="ar"/>
              </w:rPr>
              <w:t>39</w:t>
            </w:r>
            <w:r>
              <w:rPr>
                <w:rStyle w:val="4"/>
                <w:lang w:val="en-US" w:eastAsia="zh-CN" w:bidi="ar"/>
              </w:rPr>
              <w:t>号）；《金属非金属矿山安全规程》（</w:t>
            </w:r>
            <w:r>
              <w:rPr>
                <w:rStyle w:val="5"/>
                <w:lang w:val="en-US" w:eastAsia="zh-CN" w:bidi="ar"/>
              </w:rPr>
              <w:t>GB16423-2006</w:t>
            </w:r>
            <w:r>
              <w:rPr>
                <w:rStyle w:val="4"/>
                <w:lang w:val="en-US" w:eastAsia="zh-CN" w:bidi="ar"/>
              </w:rPr>
              <w:t>）第</w:t>
            </w:r>
            <w:r>
              <w:rPr>
                <w:rStyle w:val="5"/>
                <w:lang w:val="en-US" w:eastAsia="zh-CN" w:bidi="ar"/>
              </w:rPr>
              <w:t>5</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按设计参数分层分台阶开采情况。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露天矿山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36</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非煤矿山类露天矿山检查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《小型露天采石场安全管理与监督检查规定》（原国家安全监管总局令第39号）；《爆破安全规程》（GB6722-2014）第13章。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中深孔爆破作业落实情况。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露天矿山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37</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非煤矿山类露天矿山检查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《小型露天采石场安全管理与监督检查规定》（原国家安全监管总局令第39号）；《爆破安全规程》（GB6722-2014）第13章。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机械二次破碎和铲装作业情况。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露天矿山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38</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非煤矿山类露天矿山检查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《金属非金属矿山安全规程》（</w:t>
            </w:r>
            <w:r>
              <w:rPr>
                <w:rStyle w:val="5"/>
                <w:lang w:val="en-US" w:eastAsia="zh-CN" w:bidi="ar"/>
              </w:rPr>
              <w:t>GB16423-2006</w:t>
            </w:r>
            <w:r>
              <w:rPr>
                <w:rStyle w:val="4"/>
                <w:lang w:val="en-US" w:eastAsia="zh-CN" w:bidi="ar"/>
              </w:rPr>
              <w:t>）第</w:t>
            </w:r>
            <w:r>
              <w:rPr>
                <w:rStyle w:val="5"/>
                <w:lang w:val="en-US" w:eastAsia="zh-CN" w:bidi="ar"/>
              </w:rPr>
              <w:t>5</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按设计控制边坡参数和安全检查情况。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露天矿山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39</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非煤矿山类露天矿山检查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《金属非金属矿山安全规程》（</w:t>
            </w:r>
            <w:r>
              <w:rPr>
                <w:rStyle w:val="5"/>
                <w:lang w:val="en-US" w:eastAsia="zh-CN" w:bidi="ar"/>
              </w:rPr>
              <w:t>GB16423-2006</w:t>
            </w:r>
            <w:r>
              <w:rPr>
                <w:rStyle w:val="4"/>
                <w:lang w:val="en-US" w:eastAsia="zh-CN" w:bidi="ar"/>
              </w:rPr>
              <w:t>）第</w:t>
            </w:r>
            <w:r>
              <w:rPr>
                <w:rStyle w:val="5"/>
                <w:lang w:val="en-US" w:eastAsia="zh-CN" w:bidi="ar"/>
              </w:rPr>
              <w:t>5</w:t>
            </w:r>
            <w:r>
              <w:rPr>
                <w:rStyle w:val="4"/>
                <w:lang w:val="en-US" w:eastAsia="zh-CN" w:bidi="ar"/>
              </w:rPr>
              <w:t>章；《金属非金属矿山排土场安全生产规则》（</w:t>
            </w:r>
            <w:r>
              <w:rPr>
                <w:rStyle w:val="5"/>
                <w:lang w:val="en-US" w:eastAsia="zh-CN" w:bidi="ar"/>
              </w:rPr>
              <w:t>AQ2005-2005</w:t>
            </w:r>
            <w:r>
              <w:rPr>
                <w:rStyle w:val="4"/>
                <w:lang w:val="en-US" w:eastAsia="zh-CN" w:bidi="ar"/>
              </w:rPr>
              <w:t>）第</w:t>
            </w:r>
            <w:r>
              <w:rPr>
                <w:rStyle w:val="5"/>
                <w:lang w:val="en-US" w:eastAsia="zh-CN" w:bidi="ar"/>
              </w:rPr>
              <w:t>4</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按设计控制排土场堆置参数和安全检查情况。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露天矿山</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40</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非煤矿山类尾矿库检查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《尾矿库安全监督管理规定》（原国家安全监管总局令第38号）。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勘察、设计、施工、监理、安全评价等中介机构资质情况。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41</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非煤矿山类尾矿库检查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《尾矿库安全监督管理规定》（原国家安全监管总局令第38号）；《尾矿设施设计规范》（GB50863-2013）第4章。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安全现状评价、全面勘察及稳定性专项评价完成情况。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42</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非煤矿山类尾矿库检查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《尾矿库安全监督管理规定》（国家安全监管总局令第</w:t>
            </w:r>
            <w:r>
              <w:rPr>
                <w:rStyle w:val="5"/>
                <w:lang w:val="en-US" w:eastAsia="zh-CN" w:bidi="ar"/>
              </w:rPr>
              <w:t>38</w:t>
            </w:r>
            <w:r>
              <w:rPr>
                <w:rStyle w:val="4"/>
                <w:lang w:val="en-US" w:eastAsia="zh-CN" w:bidi="ar"/>
              </w:rPr>
              <w:t>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尾矿库试运行情况。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43</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非煤矿山类尾矿库检查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《尾矿库安全技术规程》（</w:t>
            </w:r>
            <w:r>
              <w:rPr>
                <w:rStyle w:val="5"/>
                <w:lang w:val="en-US" w:eastAsia="zh-CN" w:bidi="ar"/>
              </w:rPr>
              <w:t>AQ2006-2005</w:t>
            </w:r>
            <w:r>
              <w:rPr>
                <w:rStyle w:val="4"/>
                <w:lang w:val="en-US" w:eastAsia="zh-CN" w:bidi="ar"/>
              </w:rPr>
              <w:t>）第</w:t>
            </w:r>
            <w:r>
              <w:rPr>
                <w:rStyle w:val="5"/>
                <w:lang w:val="en-US" w:eastAsia="zh-CN" w:bidi="ar"/>
              </w:rPr>
              <w:t>6</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按照设计放矿、筑坝情况。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44</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非煤矿山类尾矿库检查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《尾矿库安全技术规程》（</w:t>
            </w:r>
            <w:r>
              <w:rPr>
                <w:rStyle w:val="5"/>
                <w:lang w:val="en-US" w:eastAsia="zh-CN" w:bidi="ar"/>
              </w:rPr>
              <w:t>AQ2006-2005</w:t>
            </w:r>
            <w:r>
              <w:rPr>
                <w:rStyle w:val="4"/>
                <w:lang w:val="en-US" w:eastAsia="zh-CN" w:bidi="ar"/>
              </w:rPr>
              <w:t>）第</w:t>
            </w:r>
            <w:r>
              <w:rPr>
                <w:rStyle w:val="5"/>
                <w:lang w:val="en-US" w:eastAsia="zh-CN" w:bidi="ar"/>
              </w:rPr>
              <w:t>7</w:t>
            </w:r>
            <w:r>
              <w:rPr>
                <w:rStyle w:val="4"/>
                <w:lang w:val="en-US" w:eastAsia="zh-CN" w:bidi="ar"/>
              </w:rPr>
              <w:t>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排洪、排渗设施情况。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45</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非煤矿山类尾矿库检查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《尾矿库安全监督管理规定》（原国家安全监管总局令第38号）；《尾矿库安全监测技术规范》（AQ2030-2010）第4章。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尾矿库在线监测系统运行情况。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46</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非煤矿山类尾矿库检查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《尾矿库安全监督管理规定》（原国家安全监管总局令第38号）；《尾矿库安全技术规程》（AQ2006-2005）第8章。</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危、险库停产整改、病库限期整改情况。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47</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非煤矿山类尾矿库检查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《尾矿库安全监督管理规定》（原国家安全监管总局令第38号）。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应急预案备案情况。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尾矿库</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48</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非煤矿山类</w:t>
            </w:r>
          </w:p>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金属与非金属矿产资源地质勘探检查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《金属与非金属矿产资源地质勘探安全生产监督管理暂行规定》（原国家安全监管总局令第35号）第十四条。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地质勘探工程的设计、施工和安全管理情况。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金属与非金属矿产资源地质勘探单位</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49</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非煤矿山类</w:t>
            </w:r>
          </w:p>
          <w:p>
            <w:pPr>
              <w:kinsoku/>
              <w:autoSpaceDE/>
              <w:autoSpaceDN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金属与非金属矿产资源地质勘探检查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《金属与非金属矿产资源地质勘探安全生产监督管理暂行规定》（原国家安全监管总局令第35号）第十五条。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坑探工程的设计方案中是否设有安全专篇。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 xml:space="preserve">书面检查  </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金属与非金属矿产资源地质勘探单位</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kinsoku/>
              <w:autoSpaceDE/>
              <w:autoSpaceDN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非煤矿山类金属与非金属矿产资源地质勘探检查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《金属与非金属矿产资源地质勘探安全生产监督管理暂行规定》（原国家安全监管总局令第35号）第十六条。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地质勘探单位是否存在非法转包地质勘探工程项目情况。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金属与非金属矿产资源地质勘探单位</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51</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金属与非金属矿产资源地质勘探检查</w:t>
            </w:r>
          </w:p>
        </w:tc>
        <w:tc>
          <w:tcPr>
            <w:tcW w:w="4096"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《金属与非金属矿产资源地质勘探安全生产监督管理暂行规定》（原国家安全监管总局令第35号）第十七条。</w:t>
            </w:r>
          </w:p>
        </w:tc>
        <w:tc>
          <w:tcPr>
            <w:tcW w:w="286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地质勘探单位是否存在以探矿名义从事非法采矿活动。</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金属与非金属矿产资源地质勘探单位</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52</w:t>
            </w:r>
          </w:p>
        </w:tc>
        <w:tc>
          <w:tcPr>
            <w:tcW w:w="144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非煤矿山类外包工程行为检查</w:t>
            </w:r>
          </w:p>
          <w:p>
            <w:pPr>
              <w:kinsoku/>
              <w:autoSpaceDE/>
              <w:autoSpaceDN w:val="0"/>
              <w:jc w:val="left"/>
              <w:textAlignment w:val="center"/>
              <w:rPr>
                <w:rFonts w:hint="eastAsia" w:ascii="宋体" w:hAnsi="宋体" w:eastAsia="宋体" w:cs="宋体"/>
                <w:i w:val="0"/>
                <w:color w:val="000000"/>
                <w:kern w:val="0"/>
                <w:sz w:val="18"/>
                <w:szCs w:val="18"/>
                <w:u w:val="none"/>
                <w:lang w:val="en-US" w:eastAsia="zh-CN" w:bidi="ar"/>
              </w:rPr>
            </w:pPr>
          </w:p>
        </w:tc>
        <w:tc>
          <w:tcPr>
            <w:tcW w:w="4096"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发包方与承包方签订安全生产管理协议情况。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非煤矿山外包工程</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53</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i w:val="0"/>
                <w:color w:val="000000"/>
                <w:kern w:val="0"/>
                <w:sz w:val="18"/>
                <w:szCs w:val="18"/>
                <w:u w:val="none"/>
                <w:lang w:val="en-US" w:eastAsia="zh-CN" w:bidi="ar"/>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《非煤矿山外包工程安全管理暂行办法》（原国家安全监管总局令第62号）第八条。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发包方将承保方项目纳入本单位的安全管理体系，实行统一管理并开展考核。</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书面检查、现场检查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非煤矿山外包工程</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54</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i w:val="0"/>
                <w:color w:val="000000"/>
                <w:kern w:val="0"/>
                <w:sz w:val="18"/>
                <w:szCs w:val="18"/>
                <w:u w:val="none"/>
                <w:lang w:val="en-US" w:eastAsia="zh-CN" w:bidi="ar"/>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《非煤矿山外包工程安全管理暂行办法》（原国家安全监管总局令第62号）第十一条、第十四条。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承包方安全生产许可证及施工资质情况。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非煤矿山外包工程</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55</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非煤矿山类外包工程行为检查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《非煤矿山外包工程安全管理暂行办法》（原国家安全监管总局令第62号）第九条。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承包方在登记注册地以外的省、自治区、直辖市从事施工作业时，向作业地县级安全监管部门书面报告承揽项目情况。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 xml:space="preserve">书面检查、现场检查 </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非煤矿山外包工程</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56</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非煤矿山类外包工程行为检查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《非煤矿山外包工程安全管理暂行办法》（原国家安全监管总局令第62号）第二十七条。</w:t>
            </w:r>
          </w:p>
        </w:tc>
        <w:tc>
          <w:tcPr>
            <w:tcW w:w="286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承包方在登记注册地以外的省、自治区、直辖市从事施工作业时，向作业地县级安全监管部门书面报告承揽项目情况。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 xml:space="preserve">书面检查、现场检查 </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非煤矿山外包工程</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57</w:t>
            </w:r>
          </w:p>
        </w:tc>
        <w:tc>
          <w:tcPr>
            <w:tcW w:w="1440" w:type="dxa"/>
            <w:vMerge w:val="restart"/>
            <w:tcBorders>
              <w:top w:val="single" w:color="000000" w:sz="4" w:space="0"/>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危险化学品类化工企业和危险化学品生产、经营（带仓储设施）企业检查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《安全生产法》第十九条、第二十一条、第二十四条、第二十五条、第二十七条、第四十六条、第五十四条；《危险化学品安全管理条例》第十四条、第二十九条、第三十三条。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人员和资质管理情况。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vMerge w:val="restart"/>
            <w:tcBorders>
              <w:top w:val="single" w:color="000000" w:sz="4" w:space="0"/>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危险化学品类化工企业和危险化学品生产、经营（带仓储设施）企业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58</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《安全生产法》第十八条、第三十三条、第三十八条；《危险化学品生产企业安全生产许可证实施办法》（原国家安全监管总局令第41号）。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工艺管理情况。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59</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《安全生产法》第三十三条、第三十五条、第三十八条；《危险化学品生产企业安全生产许可证实施办法》（原国家安全监管总局令第41号）。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设备设施管理情况。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60</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《危险化学品安全管理条例》第十五条、第二十四条。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危险化学品安全技术说明书、安全标签及储存管理情况。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61</w:t>
            </w:r>
          </w:p>
        </w:tc>
        <w:tc>
          <w:tcPr>
            <w:tcW w:w="1440" w:type="dxa"/>
            <w:vMerge w:val="restart"/>
            <w:tcBorders>
              <w:top w:val="single" w:color="000000" w:sz="4" w:space="0"/>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危险化学品类管道企业检查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《安全生产法》第三十条；《危险化学品安全管理条例》第十二条；《危险化学品建设项目安全监督管理办法》（原国家安全监管总局令第45号）。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安全生产许可条件保持情况。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vMerge w:val="restart"/>
            <w:tcBorders>
              <w:top w:val="single" w:color="000000" w:sz="4" w:space="0"/>
              <w:left w:val="single" w:color="000000" w:sz="4" w:space="0"/>
              <w:right w:val="single" w:color="000000" w:sz="4" w:space="0"/>
            </w:tcBorders>
            <w:vAlign w:val="center"/>
          </w:tcPr>
          <w:p>
            <w:pPr>
              <w:kinsoku/>
              <w:autoSpaceDE/>
              <w:autoSpaceDN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危险化学品管道企业</w:t>
            </w:r>
          </w:p>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62</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《建设项目安全设施“三同时”监督管理办法》（原国家安全监管总局令第36号）。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安全设施竣工验收报告。</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63</w:t>
            </w:r>
          </w:p>
        </w:tc>
        <w:tc>
          <w:tcPr>
            <w:tcW w:w="1440" w:type="dxa"/>
            <w:vMerge w:val="restart"/>
            <w:tcBorders>
              <w:top w:val="single" w:color="000000" w:sz="4" w:space="0"/>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烟花爆竹经营单位检查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《烟花爆竹安全管理条例》第十七条；《烟花爆竹经营许可实施办法》（原国家安全监管总局令第65号）。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批发许可条件保持情况。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烟花爆竹经营单位</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64</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《烟花爆竹安全管理条例》第十八条；《烟花爆竹经营许可实施办法》（原国家安全监管总局令第65号）。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零售许可条件保持情况。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烟花爆竹经营单位</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65</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《烟花爆竹安全管理条例》第二十条。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向有资质的生产、零售企业采购和销售产品情况。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烟花爆竹经营单位</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66</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《烟花爆竹安全管理条例》第二十一条。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向未取得烟花爆竹安全生产许可的任何单位或者个人销售黑火药、烟火药和引火线的情况。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烟花爆竹经营单位</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67</w:t>
            </w:r>
          </w:p>
        </w:tc>
        <w:tc>
          <w:tcPr>
            <w:tcW w:w="1440" w:type="dxa"/>
            <w:vMerge w:val="restart"/>
            <w:tcBorders>
              <w:top w:val="single" w:color="000000" w:sz="4" w:space="0"/>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非药品类易制毒化学品生产、经营企业检查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《易制毒化学品管理条例》第七条、第八条、第九条、第十条、第十一条、第十二条、第十三条、第三十二条；《非药品类易制毒化学品生产、经营许可办法》(原国家安全监管总局令第5号)。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许可（备案）条件保持情况。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非药品类易制毒化学品生产、经营企业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68</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《易制毒化学品管理条例》第七条、第八条、第九条、第十条、第十一条、第十二条、第十三条、第三十六条；《非药品类易制毒化学品生产、经营许可办法》(原国家安全监管总局令第5号)。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报告生产、经营的非药品类易制毒化学品的品种、数量和主要流向等情况。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非药品类易制毒化学品生产、经营企业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sz w:val="18"/>
                <w:szCs w:val="18"/>
                <w:u w:val="none"/>
                <w:lang w:val="en-US" w:eastAsia="zh-CN"/>
              </w:rPr>
              <w:t>69</w:t>
            </w:r>
          </w:p>
        </w:tc>
        <w:tc>
          <w:tcPr>
            <w:tcW w:w="144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w:t>
            </w:r>
            <w:r>
              <w:rPr>
                <w:rFonts w:hint="eastAsia" w:ascii="宋体" w:hAnsi="宋体" w:cs="宋体"/>
                <w:i w:val="0"/>
                <w:color w:val="000000"/>
                <w:kern w:val="0"/>
                <w:sz w:val="18"/>
                <w:szCs w:val="18"/>
                <w:u w:val="none"/>
                <w:lang w:val="en-US" w:eastAsia="zh-CN" w:bidi="ar"/>
              </w:rPr>
              <w:t>工贸</w:t>
            </w:r>
            <w:r>
              <w:rPr>
                <w:rFonts w:hint="eastAsia" w:ascii="宋体" w:hAnsi="宋体" w:eastAsia="宋体" w:cs="宋体"/>
                <w:i w:val="0"/>
                <w:color w:val="000000"/>
                <w:kern w:val="0"/>
                <w:sz w:val="18"/>
                <w:szCs w:val="18"/>
                <w:u w:val="none"/>
                <w:lang w:val="en-US" w:eastAsia="zh-CN" w:bidi="ar"/>
              </w:rPr>
              <w:t>类冶金企业检查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《安全生产法》第二十一条。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安全生产管理机构设置情况。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sz w:val="18"/>
                <w:szCs w:val="18"/>
                <w:u w:val="none"/>
                <w:lang w:val="en-US" w:eastAsia="zh-CN"/>
              </w:rPr>
              <w:t>70</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《安全生产法》第二十四条。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主要负责人和安全生产管理人员考核情况。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sz w:val="18"/>
                <w:szCs w:val="18"/>
                <w:u w:val="none"/>
                <w:lang w:val="en-US" w:eastAsia="zh-CN"/>
              </w:rPr>
              <w:t>71</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《安全生产法》第三十二条。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较大危险因素辨识管控措施的落实情况。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sz w:val="18"/>
                <w:szCs w:val="18"/>
                <w:u w:val="none"/>
                <w:lang w:val="en-US" w:eastAsia="zh-CN"/>
              </w:rPr>
              <w:t>72</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《安全生产法》第三十条。</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新、改、扩建项目安全设施</w:t>
            </w:r>
            <w:r>
              <w:rPr>
                <w:rStyle w:val="5"/>
                <w:lang w:val="en-US" w:eastAsia="zh-CN" w:bidi="ar"/>
              </w:rPr>
              <w:t>“</w:t>
            </w:r>
            <w:r>
              <w:rPr>
                <w:rStyle w:val="4"/>
                <w:lang w:val="en-US" w:eastAsia="zh-CN" w:bidi="ar"/>
              </w:rPr>
              <w:t>三同时</w:t>
            </w:r>
            <w:r>
              <w:rPr>
                <w:rStyle w:val="5"/>
                <w:lang w:val="en-US" w:eastAsia="zh-CN" w:bidi="ar"/>
              </w:rPr>
              <w:t>”</w:t>
            </w:r>
            <w:r>
              <w:rPr>
                <w:rStyle w:val="4"/>
                <w:lang w:val="en-US" w:eastAsia="zh-CN" w:bidi="ar"/>
              </w:rPr>
              <w:t>履行情况。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sz w:val="18"/>
                <w:szCs w:val="18"/>
                <w:u w:val="none"/>
                <w:lang w:val="en-US" w:eastAsia="zh-CN"/>
              </w:rPr>
              <w:t>73</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《特种作业人员安全技术培训考核管理规定》（原国家安全监管总局令第30号）。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特种作业人员持证上岗情况。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书面检查、信息管理系统</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sz w:val="18"/>
                <w:szCs w:val="18"/>
                <w:u w:val="none"/>
                <w:lang w:val="en-US" w:eastAsia="zh-CN"/>
              </w:rPr>
              <w:t>74</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《冶金企业安全生产监督管理规定》（原国家安全监管总局令第26号）。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会议室、活动室、休息室、更衣室等人员聚集场所是否设置在危险区域情况。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75</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《炼钢安全规程》（</w:t>
            </w:r>
            <w:r>
              <w:rPr>
                <w:rStyle w:val="5"/>
                <w:lang w:val="en-US" w:eastAsia="zh-CN" w:bidi="ar"/>
              </w:rPr>
              <w:t>AQ2001-2004</w:t>
            </w:r>
            <w:r>
              <w:rPr>
                <w:rStyle w:val="4"/>
                <w:lang w:val="en-US" w:eastAsia="zh-CN" w:bidi="ar"/>
              </w:rPr>
              <w:t>）</w:t>
            </w:r>
            <w:r>
              <w:rPr>
                <w:rStyle w:val="5"/>
                <w:lang w:val="en-US" w:eastAsia="zh-CN" w:bidi="ar"/>
              </w:rPr>
              <w:t>8.4.4。</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吊运铁水、钢水的起重机备是否符合冶金铸造起重机要求及年检情况。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76</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《炼钢安全规程》（</w:t>
            </w:r>
            <w:r>
              <w:rPr>
                <w:rStyle w:val="5"/>
                <w:lang w:val="en-US" w:eastAsia="zh-CN" w:bidi="ar"/>
              </w:rPr>
              <w:t>AQ2001-2004</w:t>
            </w:r>
            <w:r>
              <w:rPr>
                <w:rStyle w:val="4"/>
                <w:lang w:val="en-US" w:eastAsia="zh-CN" w:bidi="ar"/>
              </w:rPr>
              <w:t>）</w:t>
            </w:r>
            <w:r>
              <w:rPr>
                <w:rStyle w:val="5"/>
                <w:lang w:val="en-US" w:eastAsia="zh-CN" w:bidi="ar"/>
              </w:rPr>
              <w:t>8.1.3。</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盛装铁水、钢水与液渣的罐（包、盆）等容器耳轴检测情况。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77</w:t>
            </w:r>
          </w:p>
        </w:tc>
        <w:tc>
          <w:tcPr>
            <w:tcW w:w="1440" w:type="dxa"/>
            <w:vMerge w:val="restart"/>
            <w:tcBorders>
              <w:top w:val="single" w:color="000000" w:sz="4" w:space="0"/>
              <w:left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w:t>
            </w:r>
            <w:r>
              <w:rPr>
                <w:rFonts w:hint="eastAsia" w:ascii="宋体" w:hAnsi="宋体" w:cs="宋体"/>
                <w:i w:val="0"/>
                <w:color w:val="000000"/>
                <w:kern w:val="0"/>
                <w:sz w:val="18"/>
                <w:szCs w:val="18"/>
                <w:u w:val="none"/>
                <w:lang w:val="en-US" w:eastAsia="zh-CN" w:bidi="ar"/>
              </w:rPr>
              <w:t>工贸</w:t>
            </w:r>
            <w:r>
              <w:rPr>
                <w:rFonts w:hint="eastAsia" w:ascii="宋体" w:hAnsi="宋体" w:eastAsia="宋体" w:cs="宋体"/>
                <w:i w:val="0"/>
                <w:color w:val="000000"/>
                <w:kern w:val="0"/>
                <w:sz w:val="18"/>
                <w:szCs w:val="18"/>
                <w:u w:val="none"/>
                <w:lang w:val="en-US" w:eastAsia="zh-CN" w:bidi="ar"/>
              </w:rPr>
              <w:t>类冶金企业检查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《炼钢安全规程》（AQ2001-2004）6.2.6。</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高温熔融金属冶炼、吊运区域是否存在积水情况。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78</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《冶金企业安全生产监督管理规定》（原国家安全监管总局令第26号）。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煤气可能泄漏的危险区域警示标示及固定报警仪设置情况。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79</w:t>
            </w:r>
          </w:p>
        </w:tc>
        <w:tc>
          <w:tcPr>
            <w:tcW w:w="1440" w:type="dxa"/>
            <w:vMerge w:val="restart"/>
            <w:tcBorders>
              <w:top w:val="single" w:color="000000" w:sz="4" w:space="0"/>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冶金</w:t>
            </w:r>
            <w:r>
              <w:rPr>
                <w:rFonts w:hint="eastAsia" w:ascii="宋体" w:hAnsi="宋体" w:cs="宋体"/>
                <w:i w:val="0"/>
                <w:color w:val="000000"/>
                <w:kern w:val="0"/>
                <w:sz w:val="18"/>
                <w:szCs w:val="18"/>
                <w:u w:val="none"/>
                <w:lang w:val="en-US" w:eastAsia="zh-CN" w:bidi="ar"/>
              </w:rPr>
              <w:t>工贸</w:t>
            </w:r>
            <w:r>
              <w:rPr>
                <w:rFonts w:hint="eastAsia" w:ascii="宋体" w:hAnsi="宋体" w:eastAsia="宋体" w:cs="宋体"/>
                <w:i w:val="0"/>
                <w:color w:val="000000"/>
                <w:kern w:val="0"/>
                <w:sz w:val="18"/>
                <w:szCs w:val="18"/>
                <w:u w:val="none"/>
                <w:lang w:val="en-US" w:eastAsia="zh-CN" w:bidi="ar"/>
              </w:rPr>
              <w:t>类</w:t>
            </w:r>
            <w:r>
              <w:rPr>
                <w:rFonts w:hint="eastAsia" w:ascii="宋体" w:hAnsi="宋体" w:cs="宋体"/>
                <w:i w:val="0"/>
                <w:color w:val="000000"/>
                <w:kern w:val="0"/>
                <w:sz w:val="18"/>
                <w:szCs w:val="18"/>
                <w:u w:val="none"/>
                <w:lang w:val="en-US" w:eastAsia="zh-CN" w:bidi="ar"/>
              </w:rPr>
              <w:t>建材</w:t>
            </w:r>
            <w:r>
              <w:rPr>
                <w:rFonts w:hint="eastAsia" w:ascii="宋体" w:hAnsi="宋体" w:eastAsia="宋体" w:cs="宋体"/>
                <w:i w:val="0"/>
                <w:color w:val="000000"/>
                <w:kern w:val="0"/>
                <w:sz w:val="18"/>
                <w:szCs w:val="18"/>
                <w:u w:val="none"/>
                <w:lang w:val="en-US" w:eastAsia="zh-CN" w:bidi="ar"/>
              </w:rPr>
              <w:t>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《安全生产法》第三十二条。参照《建材行业较大危险因素辨识与防范指导手册》</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较大危险因素辨识管控措施的落实情况。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cs="宋体"/>
                <w:i w:val="0"/>
                <w:color w:val="000000"/>
                <w:kern w:val="0"/>
                <w:sz w:val="18"/>
                <w:szCs w:val="18"/>
                <w:u w:val="none"/>
                <w:lang w:val="en-US" w:eastAsia="zh-CN" w:bidi="ar"/>
              </w:rPr>
              <w:t>建材</w:t>
            </w:r>
            <w:r>
              <w:rPr>
                <w:rFonts w:hint="eastAsia" w:ascii="宋体" w:hAnsi="宋体" w:eastAsia="宋体" w:cs="宋体"/>
                <w:i w:val="0"/>
                <w:color w:val="000000"/>
                <w:kern w:val="0"/>
                <w:sz w:val="18"/>
                <w:szCs w:val="18"/>
                <w:u w:val="none"/>
                <w:lang w:val="en-US" w:eastAsia="zh-CN" w:bidi="ar"/>
              </w:rPr>
              <w:t>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80</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《水泥工厂筒型储存库人工清库安全规程》（</w:t>
            </w:r>
            <w:r>
              <w:rPr>
                <w:rStyle w:val="5"/>
                <w:lang w:val="en-US" w:eastAsia="zh-CN" w:bidi="ar"/>
              </w:rPr>
              <w:t>AQ2047-2012</w:t>
            </w:r>
            <w:r>
              <w:rPr>
                <w:rStyle w:val="4"/>
                <w:lang w:val="en-US" w:eastAsia="zh-CN" w:bidi="ar"/>
              </w:rPr>
              <w:t>）</w:t>
            </w:r>
            <w:r>
              <w:rPr>
                <w:rStyle w:val="5"/>
                <w:lang w:val="en-US" w:eastAsia="zh-CN" w:bidi="ar"/>
              </w:rPr>
              <w:t>5。</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水泥筒型库清库清堵安全管理情况。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cs="宋体"/>
                <w:i w:val="0"/>
                <w:color w:val="000000"/>
                <w:kern w:val="0"/>
                <w:sz w:val="18"/>
                <w:szCs w:val="18"/>
                <w:u w:val="none"/>
                <w:lang w:val="en-US" w:eastAsia="zh-CN" w:bidi="ar"/>
              </w:rPr>
              <w:t>建材</w:t>
            </w:r>
            <w:r>
              <w:rPr>
                <w:rFonts w:hint="eastAsia" w:ascii="宋体" w:hAnsi="宋体" w:eastAsia="宋体" w:cs="宋体"/>
                <w:i w:val="0"/>
                <w:color w:val="000000"/>
                <w:kern w:val="0"/>
                <w:sz w:val="18"/>
                <w:szCs w:val="18"/>
                <w:u w:val="none"/>
                <w:lang w:val="en-US" w:eastAsia="zh-CN" w:bidi="ar"/>
              </w:rPr>
              <w:t>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81</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《玻璃工厂工业卫生与安全技术规程》（</w:t>
            </w:r>
            <w:r>
              <w:rPr>
                <w:rStyle w:val="5"/>
                <w:lang w:val="en-US" w:eastAsia="zh-CN" w:bidi="ar"/>
              </w:rPr>
              <w:t>GB15081-1994</w:t>
            </w:r>
            <w:r>
              <w:rPr>
                <w:rStyle w:val="4"/>
                <w:lang w:val="en-US" w:eastAsia="zh-CN" w:bidi="ar"/>
              </w:rPr>
              <w:t>）</w:t>
            </w:r>
            <w:r>
              <w:rPr>
                <w:rStyle w:val="5"/>
                <w:lang w:val="en-US" w:eastAsia="zh-CN" w:bidi="ar"/>
              </w:rPr>
              <w:t>5.4.7。</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玻璃熔炉的防泄漏措施情况。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cs="宋体"/>
                <w:i w:val="0"/>
                <w:color w:val="000000"/>
                <w:kern w:val="0"/>
                <w:sz w:val="18"/>
                <w:szCs w:val="18"/>
                <w:u w:val="none"/>
                <w:lang w:val="en-US" w:eastAsia="zh-CN" w:bidi="ar"/>
              </w:rPr>
              <w:t>建材</w:t>
            </w:r>
            <w:r>
              <w:rPr>
                <w:rFonts w:hint="eastAsia" w:ascii="宋体" w:hAnsi="宋体" w:eastAsia="宋体" w:cs="宋体"/>
                <w:i w:val="0"/>
                <w:color w:val="000000"/>
                <w:kern w:val="0"/>
                <w:sz w:val="18"/>
                <w:szCs w:val="18"/>
                <w:u w:val="none"/>
                <w:lang w:val="en-US" w:eastAsia="zh-CN" w:bidi="ar"/>
              </w:rPr>
              <w:t>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82</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《石油库设计规范》（</w:t>
            </w:r>
            <w:r>
              <w:rPr>
                <w:rStyle w:val="5"/>
                <w:lang w:val="en-US" w:eastAsia="zh-CN" w:bidi="ar"/>
              </w:rPr>
              <w:t>GB50074-2014</w:t>
            </w:r>
            <w:r>
              <w:rPr>
                <w:rStyle w:val="4"/>
                <w:lang w:val="en-US" w:eastAsia="zh-CN" w:bidi="ar"/>
              </w:rPr>
              <w:t>）</w:t>
            </w:r>
            <w:r>
              <w:rPr>
                <w:rStyle w:val="5"/>
                <w:lang w:val="en-US" w:eastAsia="zh-CN" w:bidi="ar"/>
              </w:rPr>
              <w:t>14.2.1。</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柴油罐等燃料罐采取防雷、防静电的措施情况。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cs="宋体"/>
                <w:i w:val="0"/>
                <w:color w:val="000000"/>
                <w:kern w:val="0"/>
                <w:sz w:val="18"/>
                <w:szCs w:val="18"/>
                <w:u w:val="none"/>
                <w:lang w:val="en-US" w:eastAsia="zh-CN" w:bidi="ar"/>
              </w:rPr>
              <w:t>建材</w:t>
            </w:r>
            <w:r>
              <w:rPr>
                <w:rFonts w:hint="eastAsia" w:ascii="宋体" w:hAnsi="宋体" w:eastAsia="宋体" w:cs="宋体"/>
                <w:i w:val="0"/>
                <w:color w:val="000000"/>
                <w:kern w:val="0"/>
                <w:sz w:val="18"/>
                <w:szCs w:val="18"/>
                <w:u w:val="none"/>
                <w:lang w:val="en-US" w:eastAsia="zh-CN" w:bidi="ar"/>
              </w:rPr>
              <w:t>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83</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《工业企业煤气安全规程》</w:t>
            </w:r>
            <w:r>
              <w:rPr>
                <w:rStyle w:val="5"/>
                <w:lang w:val="en-US" w:eastAsia="zh-CN" w:bidi="ar"/>
              </w:rPr>
              <w:t>(GB6222-2005) 5.1。</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煤气发生炉及煤气输送系统的防火、防爆情况。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cs="宋体"/>
                <w:i w:val="0"/>
                <w:color w:val="000000"/>
                <w:kern w:val="0"/>
                <w:sz w:val="18"/>
                <w:szCs w:val="18"/>
                <w:u w:val="none"/>
                <w:lang w:val="en-US" w:eastAsia="zh-CN" w:bidi="ar"/>
              </w:rPr>
              <w:t>建材</w:t>
            </w:r>
            <w:r>
              <w:rPr>
                <w:rFonts w:hint="eastAsia" w:ascii="宋体" w:hAnsi="宋体" w:eastAsia="宋体" w:cs="宋体"/>
                <w:i w:val="0"/>
                <w:color w:val="000000"/>
                <w:kern w:val="0"/>
                <w:sz w:val="18"/>
                <w:szCs w:val="18"/>
                <w:u w:val="none"/>
                <w:lang w:val="en-US" w:eastAsia="zh-CN" w:bidi="ar"/>
              </w:rPr>
              <w:t>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84</w:t>
            </w:r>
          </w:p>
        </w:tc>
        <w:tc>
          <w:tcPr>
            <w:tcW w:w="144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工贸类机械企业检查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《安全生产法》第三十二条。参照《机械行业较大危险因素辨识与防范指导手册》</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较大危险因素辨识管控措施的落实情况。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85</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《工业企业总平面设计规范》（GB50187-2012）8.1.7。</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危险介质管道穿越建（构）筑物、设备设施的情况。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86</w:t>
            </w:r>
          </w:p>
        </w:tc>
        <w:tc>
          <w:tcPr>
            <w:tcW w:w="1440" w:type="dxa"/>
            <w:vMerge w:val="restart"/>
            <w:tcBorders>
              <w:top w:val="single" w:color="000000" w:sz="4" w:space="0"/>
              <w:left w:val="single" w:color="000000" w:sz="4" w:space="0"/>
              <w:right w:val="single" w:color="000000" w:sz="4" w:space="0"/>
            </w:tcBorders>
            <w:vAlign w:val="center"/>
          </w:tcPr>
          <w:p>
            <w:pPr>
              <w:kinsoku/>
              <w:autoSpaceDE/>
              <w:autoSpaceDN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工贸类机械企业检查</w:t>
            </w:r>
          </w:p>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《起重机械安全规程 第1部分：总则》（GB6067.1-2010）17.2。</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部件或物品起吊载荷质心的确定情况。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87</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《石油库设计规范》（GB50074-2014）14.2.1、14.3。</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使用、储存成品油和可燃液体的设备设施采取防雷、防静电的措施情况。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88</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《起重机械安全技术监察规程—桥式起重机》（TSGQ0002-2008）第六条；《起重机械安全规程 第1部分：总则》（GB6067.1-2010）4.1.1b） ；《起重机械安全规程 第5部分 桥式和门式起重机》（GB6067.5-2014）4.2.4、9.2、9.5。</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吊运熔融金属的起重机械的选用和安全技术状况。涉及铸造工艺。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89</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《机械工业职业安全卫生设计规范》（JBJ18-2000）3.2.1。</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铸造熔炼炉前坑、沟或储运铁水和堆放熔渣出的防水措施。涉及铸造工艺。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90</w:t>
            </w:r>
          </w:p>
        </w:tc>
        <w:tc>
          <w:tcPr>
            <w:tcW w:w="1440" w:type="dxa"/>
            <w:vMerge w:val="continue"/>
            <w:tcBorders>
              <w:left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《机械工业职业安全卫生设计规范》（JBJ18-2000）3.2.2。</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造型地坑砂型底部与地下水位的安全距离。涉及铸造工艺。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54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91</w:t>
            </w:r>
          </w:p>
        </w:tc>
        <w:tc>
          <w:tcPr>
            <w:tcW w:w="1440" w:type="dxa"/>
            <w:vMerge w:val="continue"/>
            <w:tcBorders>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《金属热处理生产过程安全、卫生要求》（GB15735-2012）7.2.3、7.2.5、7.2.6、7.2.7、7.2.9、7.2.10、7.3.2、7.4.2、7.5.3、7.7.2、7.8.2、7.8.4、7.8.5。</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热处理炉自动保护装置的设置和完好情况（含电阻炉、保护气氛和可控气氛炉、）。涉及热处理工艺。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92</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《金属热处理生产过程安全、卫生要求》（GB15735-2012）8.2。</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整体热处理的安全操作情况。涉及热处理工艺。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93</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《金属热处理生产过程安全、卫生要求》（GB15735-2012）8.4。</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镁合金等轻金属采用盐浴炉热处理时的盐浴温度情况。涉及热处理工艺。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94</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《电镀生产装置安全技术条件》（AQ5203-2008）5.7。</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自动电镀生产线的安全保护措施。涉及电镀工艺。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sz w:val="18"/>
                <w:szCs w:val="18"/>
                <w:u w:val="none"/>
                <w:lang w:val="en-US" w:eastAsia="zh-CN"/>
              </w:rPr>
              <w:t>95</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《涂装作业安全规程 安全管理通则》（GB7691-2003）9.1、9.2、9.3；《涂装作业安全规程 涂漆工艺安全及其通风净化》（GB6514-2008）5.1.3.1、5.1.3.2、5.1.3.3。</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临时涂装作业的划定及安全措施的落实情况。涉及涂装工艺。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96</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《涂装作业安全规程 涂层烘干室 安全技术规定》（GB14443-2007）9.6。</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涂装烘干系统的烟囱中沉积物情况和定期清扫情况。涉及涂装工艺。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97</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《涂装作业安全规程 安全管理通则》（GB7691-2003）9.6；《涂装作业安全规程 涂漆前处理工艺安全及其通风净化》（GB7692-2012）5.1.16、5.1.25。</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使用易燃易爆清洗剂时安全防护措施的落实情况。涉及涂装工艺。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98</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《焊接与切割安全》（GB9448-1999）6.3。</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集聚在密闭半密闭空间内易燃易爆气体的及时清理措施。涉及焊接与切割工艺或动火作业。</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99</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《冲压车间安全生产通则》（GB8176-2012）8.11；《金属热处理生产过程安全、卫生要求》（GB15735-2012）9.7；《木工（材）车间安全生产通则》（GB15606-2008）10.4；《涂装作业安全规程 安全管理通则》（GB7691-2003）13。</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检修作业时的安全防护措施。涉及所有设备设施检修。</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机械企业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工贸类轻工企业检查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《安全生产法》第三十二条。参照《轻工行业较大危险因素辨识与防范指导手册》。</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较大危险因素辨识管控措施的落实情况。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轻工企业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101</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工贸类轻工企业检查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《食品生产企业安全生产监督管理暂行规定》(原国家安全监管总局令第66号)。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烘制、油炸等高温设备安全保护措施的配备情况。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轻工企业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102</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工贸类轻工企业检查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《浸出油工厂防火安全规范》（SJB04-91）3.0.8、3.0.10。</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植物油加工企业浸出车间的安全防护措施。</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轻工企业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103</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工贸类轻工企业检查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《酒厂设计防火规范》(GB50694-2011）9.3.5。</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白酒储存、勾兑场所乙醇浓度检测报警装置不应高于地面</w:t>
            </w:r>
            <w:r>
              <w:rPr>
                <w:rStyle w:val="5"/>
                <w:lang w:val="en-US" w:eastAsia="zh-CN" w:bidi="ar"/>
              </w:rPr>
              <w:t>0.6</w:t>
            </w:r>
            <w:r>
              <w:rPr>
                <w:rStyle w:val="4"/>
                <w:lang w:val="en-US" w:eastAsia="zh-CN" w:bidi="ar"/>
              </w:rPr>
              <w:t>米。</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轻工企业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104</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工贸类轻工企业检查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《酒厂设计防火规范》(GB50694-2011）9.2.3 ；《易燃易爆罐区安全监控预警系统验收技术要求》（GB17681-1999）7.4.1、7.4.2。</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白酒储罐防雷接地点不应少于两处。</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轻工企业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105</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工贸类轻工企业检查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《氯气安全规程》（GB11984-2008）5.3.2。</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造纸企业液氯使用安全规程的落实情况。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轻工企业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106</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工贸类轻工企业检查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《工业企业煤气安全规程》（GB6222-2005）4.10。</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日用玻璃、陶瓷、搪瓷制造企业燃气窑炉安全防护设备的设置情况。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轻工企业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107</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工贸类轻工企业检查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《氢气使用安全技术规程》（GB4962-2008）4.4.3。</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电池化成区域电气设备应防爆。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轻工企业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108</w:t>
            </w:r>
          </w:p>
        </w:tc>
        <w:tc>
          <w:tcPr>
            <w:tcW w:w="14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工贸类纺织企业检查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《安全生产法》第三十二条。参照《纺织行业较大危险因素辨识与防范指导手册》。</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 xml:space="preserve"> </w:t>
            </w:r>
            <w:r>
              <w:rPr>
                <w:rStyle w:val="4"/>
                <w:lang w:val="en-US" w:eastAsia="zh-CN" w:bidi="ar"/>
              </w:rPr>
              <w:t>较大危险因素辨识管控措施的落实情况。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书面检查、实地检查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纺织企业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109</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工贸类纺织企业检查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《纺织工业企业安全管理规范》(AQ7002-2007)11.2.2.4。</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热定型设备的安全技术状况。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纺织企业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110</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工贸类纺织企业检查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《纺织工业企业安全管理规范》(AQ7002-2007) 11.2.10.2。</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燃气贮罐、管道和汽化室的安全防护措施。</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纺织企业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111</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工贸类纺织企业检查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《纺织工业企业安全管理规范》(AQ7002-2007)13.3.6。</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危险品贮存安全措施的落实情况。</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纺织企业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112</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《建筑设计防火规范》（GB50016-2014）3.4.1、3.6.1。《粉尘防爆安全规程》（GB15577-2007）5.1。</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粉尘爆炸危险场所的设置情况。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ind w:firstLine="180" w:firstLineChars="10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113</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《粉尘防爆安全规程》（GB15577-2007）6.5、6.6.1、7.3 、7.4、7.5；《工业建筑供暖通风与空气调节设计规范》（GB50019-2015） 6.9.13；《建筑设计防火规范》（GB50016-2014）9.3.8。</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除尘系统的安全技术状况。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44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114</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《爆炸危险环境电力装置设计规范》（GB50058-2014）5.2.1、5.2.2、5.2.3。</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防爆电气设备设施的使用情况。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115</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《粉尘防爆安全规程》（GB15577-2007）8.3.1、8.3.2。</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粉尘清扫情况。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116</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《粉尘防爆安全规程》（GB15577-2007）6.4.2。</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粉碎、研磨、造粒等易于产生机械点火源的工艺前去除异物装置设置情况。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117</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《木材加工系统粉尘防爆安全规范》（AQ4228-2012）6.2.1.2。</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砂光机风管火花探测报警装置设置情况。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86"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118</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《粉尘防爆安全规程》（GB15577-2007）6.6.4；《粉尘爆炸危险场所用收尘器 防爆导则》（GB/T17919-2008）4.6.3、4.6.4。</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干式除尘系统未规范设置锁气卸灰装置。</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工贸类粉尘涉爆企业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119</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工贸类液氨制冷企业检查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《冷库设计规范》（GB50072-2010)6.2.7。</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包装间、切割室、产品整理间等人员较多场所空调系统的制冷方式。</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工贸类液氨制冷企业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120</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工贸类液氨制冷企业检查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《安全生产法》第三十七条；《危险化学品重大危险源监督管理暂行规定》（原国家安全监管总局令第40号）。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构成重大危险源的储氨单元的登记建档情况。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工贸类液氨制冷企业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121</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工贸类存在有限空间作业企业检查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工贸企业有限空间作业安全管理与监督暂行规定（原国家安全监管总局令第59号）。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有限空间作业场所安全警示标志的设置情况。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工贸类存在有限空间作业企业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122</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工贸类存在有限空间作业企业检查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工贸企业有限空间作业安全管理与监督暂行规定（原国家安全监管总局令第59号）。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有限空间作业审批制度的落实情况。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工贸类存在有限空间作业企业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123</w:t>
            </w: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工贸类存在有限空间作业企业检查</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工贸企业有限空间作业安全管理与监督暂行规定（原国家安全监管总局令第59号）。</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有限空间作业程序的规范和落实情况。</w:t>
            </w: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实地检查</w:t>
            </w: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r>
              <w:rPr>
                <w:rFonts w:hint="eastAsia" w:ascii="宋体" w:hAnsi="宋体" w:eastAsia="宋体" w:cs="宋体"/>
                <w:i w:val="0"/>
                <w:color w:val="000000"/>
                <w:kern w:val="0"/>
                <w:sz w:val="18"/>
                <w:szCs w:val="18"/>
                <w:u w:val="none"/>
                <w:lang w:val="en-US" w:eastAsia="zh-CN" w:bidi="ar"/>
              </w:rPr>
              <w:t>工贸类存在有限空间作业企业</w:t>
            </w: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gridAfter w:val="1"/>
          <w:wAfter w:w="44" w:type="dxa"/>
          <w:trHeight w:val="9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p>
        </w:tc>
        <w:tc>
          <w:tcPr>
            <w:tcW w:w="14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4096"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286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7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21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5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left"/>
              <w:textAlignment w:val="center"/>
              <w:rPr>
                <w:rFonts w:hint="default" w:ascii="宋体" w:hAnsi="宋体" w:eastAsia="宋体"/>
                <w:b w:val="0"/>
                <w:i w:val="0"/>
                <w:snapToGrid/>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953" w:hRule="atLeast"/>
        </w:trPr>
        <w:tc>
          <w:tcPr>
            <w:tcW w:w="14621" w:type="dxa"/>
            <w:gridSpan w:val="10"/>
            <w:vAlign w:val="center"/>
          </w:tcPr>
          <w:p>
            <w:pPr>
              <w:kinsoku/>
              <w:autoSpaceDE/>
              <w:autoSpaceDN w:val="0"/>
              <w:jc w:val="center"/>
              <w:textAlignment w:val="center"/>
              <w:rPr>
                <w:rFonts w:hint="default" w:ascii="宋体" w:hAnsi="宋体" w:eastAsia="宋体"/>
                <w:b/>
                <w:i w:val="0"/>
                <w:snapToGrid/>
                <w:color w:val="000000"/>
                <w:sz w:val="48"/>
                <w:u w:val="none"/>
                <w:lang w:eastAsia="zh-CN"/>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Calibri">
    <w:altName w:val="Lucida Sans Unicode"/>
    <w:panose1 w:val="020F0502020204030204"/>
    <w:charset w:val="01"/>
    <w:family w:val="swiss"/>
    <w:pitch w:val="default"/>
    <w:sig w:usb0="00000000" w:usb1="00000000" w:usb2="00000001" w:usb3="00000000" w:csb0="2000019F" w:csb1="00000000"/>
  </w:font>
  <w:font w:name="仿宋">
    <w:altName w:val="仿宋_GB2312"/>
    <w:panose1 w:val="02010609060101010101"/>
    <w:charset w:val="86"/>
    <w:family w:val="auto"/>
    <w:pitch w:val="default"/>
    <w:sig w:usb0="00000000" w:usb1="00000000"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Webdings">
    <w:panose1 w:val="05030102010509060703"/>
    <w:charset w:val="02"/>
    <w:family w:val="roman"/>
    <w:pitch w:val="default"/>
    <w:sig w:usb0="00000000" w:usb1="00000000" w:usb2="00000000" w:usb3="00000000" w:csb0="80000000" w:csb1="00000000"/>
  </w:font>
  <w:font w:name="Lucida Sans Unicode">
    <w:panose1 w:val="020B0602030504020204"/>
    <w:charset w:val="01"/>
    <w:family w:val="swiss"/>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宋体"/>
    <w:panose1 w:val="03000509000000000000"/>
    <w:charset w:val="86"/>
    <w:family w:val="auto"/>
    <w:pitch w:val="default"/>
    <w:sig w:usb0="00000000" w:usb1="00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61007A87" w:usb1="80000000" w:usb2="00000008" w:usb3="00000000" w:csb0="200101FF" w:csb1="20280000"/>
  </w:font>
  <w:font w:name="Courier New">
    <w:panose1 w:val="02070309020205020404"/>
    <w:charset w:val="00"/>
    <w:family w:val="modern"/>
    <w:pitch w:val="default"/>
    <w:sig w:usb0="00007A87" w:usb1="80000000" w:usb2="00000008"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宋体 ! important">
    <w:altName w:val="宋体"/>
    <w:panose1 w:val="00000000000000000000"/>
    <w:charset w:val="00"/>
    <w:family w:val="auto"/>
    <w:pitch w:val="default"/>
    <w:sig w:usb0="00000000" w:usb1="00000000" w:usb2="00000000" w:usb3="00000000" w:csb0="00000000" w:csb1="00000000"/>
  </w:font>
  <w:font w:name="Microsoft YaHei">
    <w:altName w:val="Courier New"/>
    <w:panose1 w:val="00000000000000000000"/>
    <w:charset w:val="00"/>
    <w:family w:val="auto"/>
    <w:pitch w:val="default"/>
    <w:sig w:usb0="00000000" w:usb1="00000000" w:usb2="00000000" w:usb3="00000000" w:csb0="00000000" w:csb1="0000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A00002BF" w:usb1="68C7FCFB" w:usb2="00000010" w:usb3="00000000" w:csb0="4002009F" w:csb1="DFD70000"/>
  </w:font>
  <w:font w:name="新宋体">
    <w:panose1 w:val="02010609030101010101"/>
    <w:charset w:val="86"/>
    <w:family w:val="auto"/>
    <w:pitch w:val="default"/>
    <w:sig w:usb0="00000003" w:usb1="080E0000" w:usb2="00000000"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EE233C"/>
    <w:rsid w:val="05EE233C"/>
    <w:rsid w:val="07EB0975"/>
    <w:rsid w:val="4B0A55C2"/>
    <w:rsid w:val="701A47A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character" w:customStyle="1" w:styleId="4">
    <w:name w:val="font41"/>
    <w:basedOn w:val="2"/>
    <w:qFormat/>
    <w:uiPriority w:val="0"/>
    <w:rPr>
      <w:rFonts w:hint="eastAsia" w:ascii="宋体" w:hAnsi="宋体" w:eastAsia="宋体" w:cs="宋体"/>
      <w:color w:val="000000"/>
      <w:sz w:val="18"/>
      <w:szCs w:val="18"/>
      <w:u w:val="none"/>
    </w:rPr>
  </w:style>
  <w:style w:type="character" w:customStyle="1" w:styleId="5">
    <w:name w:val="font51"/>
    <w:basedOn w:val="2"/>
    <w:qFormat/>
    <w:uiPriority w:val="0"/>
    <w:rPr>
      <w:rFonts w:hint="eastAsia" w:ascii="宋体" w:hAnsi="宋体" w:eastAsia="宋体" w:cs="宋体"/>
      <w:color w:val="000000"/>
      <w:sz w:val="18"/>
      <w:szCs w:val="18"/>
      <w:u w:val="none"/>
    </w:rPr>
  </w:style>
  <w:style w:type="character" w:customStyle="1" w:styleId="6">
    <w:name w:val="font21"/>
    <w:basedOn w:val="2"/>
    <w:qFormat/>
    <w:uiPriority w:val="0"/>
    <w:rPr>
      <w:rFonts w:hint="eastAsia" w:ascii="宋体" w:hAnsi="宋体" w:eastAsia="宋体" w:cs="宋体"/>
      <w:color w:val="000000"/>
      <w:sz w:val="20"/>
      <w:szCs w:val="20"/>
      <w:u w:val="none"/>
    </w:rPr>
  </w:style>
  <w:style w:type="character" w:customStyle="1" w:styleId="7">
    <w:name w:val="font01"/>
    <w:basedOn w:val="2"/>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2020-01-02T08:48:00Z</dcterms:created>
  <dc:creator>Administrator</dc:creator>
  <cp:lastModifiedBy>Administrator</cp:lastModifiedBy>
  <dcterms:modified xsi:type="dcterms:W3CDTF">2020-10-30T02:40:02Z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