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pacing w:val="-10"/>
          <w:sz w:val="36"/>
          <w:szCs w:val="36"/>
        </w:rPr>
      </w:pPr>
      <w:r>
        <w:rPr>
          <w:rFonts w:hint="eastAsia" w:ascii="黑体" w:hAnsi="黑体" w:eastAsia="黑体" w:cs="黑体"/>
          <w:b/>
          <w:bCs/>
          <w:sz w:val="44"/>
          <w:szCs w:val="44"/>
        </w:rPr>
        <w:t>夏县</w:t>
      </w:r>
      <w:r>
        <w:rPr>
          <w:rFonts w:hint="eastAsia" w:ascii="黑体" w:hAnsi="黑体" w:eastAsia="黑体" w:cs="黑体"/>
          <w:b/>
          <w:bCs/>
          <w:sz w:val="44"/>
          <w:szCs w:val="44"/>
          <w:lang w:eastAsia="zh-CN"/>
        </w:rPr>
        <w:t>市场监督管理局</w:t>
      </w:r>
      <w:r>
        <w:rPr>
          <w:rFonts w:hint="eastAsia" w:ascii="黑体" w:hAnsi="黑体" w:eastAsia="黑体" w:cs="黑体"/>
          <w:b/>
          <w:bCs/>
          <w:spacing w:val="-10"/>
          <w:sz w:val="36"/>
          <w:szCs w:val="36"/>
        </w:rPr>
        <w:t xml:space="preserve"> </w:t>
      </w: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关于拟吊销</w:t>
      </w:r>
      <w:r>
        <w:rPr>
          <w:rFonts w:hint="eastAsia" w:ascii="黑体" w:hAnsi="黑体" w:eastAsia="黑体" w:cs="黑体"/>
          <w:b/>
          <w:bCs/>
          <w:sz w:val="44"/>
          <w:szCs w:val="44"/>
          <w:lang w:val="en-US" w:eastAsia="zh-CN"/>
        </w:rPr>
        <w:t>夏县家家乐家俱安装有限公司等7户</w:t>
      </w:r>
      <w:r>
        <w:rPr>
          <w:rFonts w:hint="eastAsia" w:ascii="黑体" w:hAnsi="黑体" w:eastAsia="黑体" w:cs="黑体"/>
          <w:b/>
          <w:bCs/>
          <w:sz w:val="44"/>
          <w:szCs w:val="44"/>
          <w:lang w:eastAsia="zh-CN"/>
        </w:rPr>
        <w:t>企业营业执照行政处罚听证公告</w:t>
      </w:r>
    </w:p>
    <w:p>
      <w:pPr>
        <w:jc w:val="center"/>
        <w:rPr>
          <w:rFonts w:hint="eastAsia" w:ascii="仿宋" w:hAnsi="仿宋" w:eastAsia="仿宋" w:cs="仿宋"/>
          <w:b w:val="0"/>
          <w:bCs w:val="0"/>
          <w:spacing w:val="-10"/>
          <w:sz w:val="36"/>
          <w:szCs w:val="36"/>
          <w:lang w:val="en-US" w:eastAsia="zh-CN"/>
        </w:rPr>
      </w:pPr>
      <w:r>
        <w:rPr>
          <w:rFonts w:hint="eastAsia" w:ascii="仿宋" w:hAnsi="仿宋" w:eastAsia="仿宋" w:cs="仿宋"/>
          <w:b w:val="0"/>
          <w:bCs w:val="0"/>
          <w:sz w:val="32"/>
          <w:szCs w:val="32"/>
          <w:lang w:val="en-US" w:eastAsia="zh-CN"/>
        </w:rPr>
        <w:t>夏市监企听告字〔2020〕32-38号</w:t>
      </w:r>
    </w:p>
    <w:p>
      <w:pPr>
        <w:snapToGrid w:val="0"/>
        <w:spacing w:line="360" w:lineRule="auto"/>
        <w:jc w:val="both"/>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snapToGrid w:val="0"/>
        <w:spacing w:line="360" w:lineRule="auto"/>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夏县家家乐家俱安装有限公司等7户企业(详见附件）：</w:t>
      </w:r>
    </w:p>
    <w:p>
      <w:pPr>
        <w:snapToGrid w:val="0"/>
        <w:spacing w:line="360" w:lineRule="auto"/>
        <w:ind w:firstLine="560"/>
        <w:rPr>
          <w:rFonts w:hint="eastAsia" w:ascii="仿宋" w:hAnsi="仿宋" w:eastAsia="仿宋" w:cs="仿宋"/>
          <w:spacing w:val="-10"/>
          <w:sz w:val="32"/>
          <w:szCs w:val="32"/>
        </w:rPr>
      </w:pPr>
      <w:r>
        <w:rPr>
          <w:rFonts w:hint="eastAsia" w:ascii="仿宋" w:hAnsi="仿宋" w:eastAsia="仿宋" w:cs="仿宋"/>
          <w:spacing w:val="-10"/>
          <w:sz w:val="32"/>
          <w:szCs w:val="32"/>
        </w:rPr>
        <w:t>由本局立案调查的</w:t>
      </w:r>
      <w:r>
        <w:rPr>
          <w:rFonts w:hint="eastAsia" w:ascii="仿宋" w:hAnsi="仿宋" w:eastAsia="仿宋" w:cs="仿宋"/>
          <w:sz w:val="32"/>
          <w:szCs w:val="32"/>
          <w:lang w:val="en-US" w:eastAsia="zh-CN"/>
        </w:rPr>
        <w:t>夏县家家乐家俱安装有限公司等7户</w:t>
      </w:r>
      <w:r>
        <w:rPr>
          <w:rFonts w:hint="eastAsia" w:ascii="仿宋" w:hAnsi="仿宋" w:eastAsia="仿宋" w:cs="仿宋"/>
          <w:sz w:val="32"/>
          <w:szCs w:val="32"/>
        </w:rPr>
        <w:t>企业</w:t>
      </w:r>
      <w:r>
        <w:rPr>
          <w:rFonts w:hint="eastAsia" w:ascii="仿宋" w:hAnsi="仿宋" w:eastAsia="仿宋" w:cs="仿宋"/>
          <w:spacing w:val="-10"/>
          <w:sz w:val="32"/>
          <w:szCs w:val="32"/>
          <w:lang w:eastAsia="zh-CN"/>
        </w:rPr>
        <w:t>涉嫌</w:t>
      </w:r>
      <w:r>
        <w:rPr>
          <w:rFonts w:hint="eastAsia" w:ascii="仿宋" w:hAnsi="仿宋" w:eastAsia="仿宋" w:cs="仿宋"/>
          <w:spacing w:val="-10"/>
          <w:sz w:val="32"/>
          <w:szCs w:val="32"/>
        </w:rPr>
        <w:t>长期停业未经营一案，已经本局调查终结。根据《中华人民共和国行政处罚法》第三十一条</w:t>
      </w:r>
      <w:r>
        <w:rPr>
          <w:rFonts w:hint="eastAsia" w:ascii="仿宋" w:hAnsi="仿宋" w:eastAsia="仿宋" w:cs="仿宋"/>
          <w:spacing w:val="-10"/>
          <w:sz w:val="32"/>
          <w:szCs w:val="32"/>
          <w:lang w:eastAsia="zh-CN"/>
        </w:rPr>
        <w:t>的规定，</w:t>
      </w:r>
      <w:r>
        <w:rPr>
          <w:rFonts w:hint="eastAsia" w:ascii="仿宋" w:hAnsi="仿宋" w:eastAsia="仿宋" w:cs="仿宋"/>
          <w:spacing w:val="-10"/>
          <w:sz w:val="32"/>
          <w:szCs w:val="32"/>
        </w:rPr>
        <w:t>现将本局拟作出行政处罚的事实、理由、依据及处罚内容告知如下：</w:t>
      </w:r>
    </w:p>
    <w:p>
      <w:pPr>
        <w:snapToGrid w:val="0"/>
        <w:spacing w:line="360" w:lineRule="auto"/>
        <w:ind w:firstLine="560"/>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eastAsia="zh-CN"/>
        </w:rPr>
        <w:t>经查，上述所列企业未按规定年报被列入经营异常名录</w:t>
      </w:r>
      <w:r>
        <w:rPr>
          <w:rFonts w:hint="eastAsia" w:ascii="仿宋" w:hAnsi="仿宋" w:eastAsia="仿宋" w:cs="仿宋"/>
          <w:spacing w:val="-10"/>
          <w:sz w:val="32"/>
          <w:szCs w:val="32"/>
          <w:lang w:val="en-US" w:eastAsia="zh-CN"/>
        </w:rPr>
        <w:t>或者未办理“多证合一”或者营业执照经营期限逾期超过六个月，且长期停业未经营未涉税。经实地核查，上述所列企业通过登记的住所（经营场所）无法取得联系，已不在其登记的住所或经营场所从事生产经营活动，自成立后无正当理由超过六个月未开业或者开业后自行停业连续六个月以上，且未依法办理注销登记。上述所列6户</w:t>
      </w:r>
      <w:r>
        <w:rPr>
          <w:rFonts w:hint="eastAsia" w:ascii="仿宋" w:hAnsi="仿宋" w:eastAsia="仿宋" w:cs="仿宋"/>
          <w:spacing w:val="-10"/>
          <w:sz w:val="32"/>
          <w:szCs w:val="32"/>
        </w:rPr>
        <w:t>有限责任公司，违反了《中华人民共和国公司法》第二百一十一条第一款“公司成立后无正当理由超过六个月未开业的，或者开业后自行停业连续六个月以上的，可以由公司登记机关吊销营业执照。”的规定</w:t>
      </w:r>
      <w:r>
        <w:rPr>
          <w:rFonts w:hint="eastAsia" w:ascii="仿宋" w:hAnsi="仿宋" w:eastAsia="仿宋" w:cs="仿宋"/>
          <w:spacing w:val="-10"/>
          <w:sz w:val="32"/>
          <w:szCs w:val="32"/>
          <w:lang w:eastAsia="zh-CN"/>
        </w:rPr>
        <w:t>，构成</w:t>
      </w:r>
      <w:r>
        <w:rPr>
          <w:rFonts w:hint="eastAsia" w:ascii="仿宋" w:hAnsi="仿宋" w:eastAsia="仿宋" w:cs="仿宋"/>
          <w:spacing w:val="-10"/>
          <w:sz w:val="32"/>
          <w:szCs w:val="32"/>
        </w:rPr>
        <w:t>公司成立后无正当理由超过六个月未开业的，或者开业后自行停业连续六个月以上的</w:t>
      </w:r>
      <w:r>
        <w:rPr>
          <w:rFonts w:hint="eastAsia" w:ascii="仿宋" w:hAnsi="仿宋" w:eastAsia="仿宋" w:cs="仿宋"/>
          <w:spacing w:val="-10"/>
          <w:sz w:val="32"/>
          <w:szCs w:val="32"/>
          <w:lang w:eastAsia="zh-CN"/>
        </w:rPr>
        <w:t>违法行为</w:t>
      </w:r>
      <w:r>
        <w:rPr>
          <w:rFonts w:hint="eastAsia" w:ascii="仿宋" w:hAnsi="仿宋" w:eastAsia="仿宋" w:cs="仿宋"/>
          <w:spacing w:val="-10"/>
          <w:sz w:val="32"/>
          <w:szCs w:val="32"/>
        </w:rPr>
        <w:t>；</w:t>
      </w:r>
      <w:r>
        <w:rPr>
          <w:rFonts w:hint="eastAsia" w:ascii="仿宋" w:hAnsi="仿宋" w:eastAsia="仿宋" w:cs="仿宋"/>
          <w:spacing w:val="-10"/>
          <w:sz w:val="32"/>
          <w:szCs w:val="32"/>
          <w:lang w:val="en-US" w:eastAsia="zh-CN"/>
        </w:rPr>
        <w:t>上述所列1户个人独资企业，违反了《中华人民共和国个人独资企业法》第三十六条“个人独资企业成立后无正当理由超过六个月未开业的，或者开业后自行停业连续六个月以上的，吊销营业执照。”的规定，</w:t>
      </w:r>
      <w:r>
        <w:rPr>
          <w:rFonts w:hint="eastAsia" w:ascii="仿宋" w:hAnsi="仿宋" w:eastAsia="仿宋" w:cs="仿宋"/>
          <w:spacing w:val="-10"/>
          <w:sz w:val="32"/>
          <w:szCs w:val="32"/>
          <w:lang w:eastAsia="zh-CN"/>
        </w:rPr>
        <w:t>构成</w:t>
      </w:r>
      <w:r>
        <w:rPr>
          <w:rFonts w:hint="eastAsia" w:ascii="仿宋" w:hAnsi="仿宋" w:eastAsia="仿宋" w:cs="仿宋"/>
          <w:spacing w:val="-10"/>
          <w:sz w:val="32"/>
          <w:szCs w:val="32"/>
        </w:rPr>
        <w:t>个人独资企业成立后无正当理由超过六个月未开业的，或者开业后自行停业连续六个月以上的</w:t>
      </w:r>
      <w:r>
        <w:rPr>
          <w:rFonts w:hint="eastAsia" w:ascii="仿宋" w:hAnsi="仿宋" w:eastAsia="仿宋" w:cs="仿宋"/>
          <w:spacing w:val="-10"/>
          <w:sz w:val="32"/>
          <w:szCs w:val="32"/>
          <w:lang w:eastAsia="zh-CN"/>
        </w:rPr>
        <w:t>违法行为</w:t>
      </w:r>
      <w:r>
        <w:rPr>
          <w:rFonts w:hint="eastAsia" w:ascii="仿宋" w:hAnsi="仿宋" w:eastAsia="仿宋" w:cs="仿宋"/>
          <w:spacing w:val="-10"/>
          <w:sz w:val="32"/>
          <w:szCs w:val="32"/>
          <w:lang w:val="en-US" w:eastAsia="zh-CN"/>
        </w:rPr>
        <w:t>。</w:t>
      </w:r>
    </w:p>
    <w:p>
      <w:pPr>
        <w:snapToGrid w:val="0"/>
        <w:spacing w:line="360" w:lineRule="auto"/>
        <w:ind w:firstLine="560"/>
        <w:rPr>
          <w:rFonts w:hint="eastAsia" w:ascii="仿宋" w:hAnsi="仿宋" w:eastAsia="仿宋" w:cs="仿宋"/>
          <w:spacing w:val="-10"/>
          <w:sz w:val="32"/>
          <w:szCs w:val="32"/>
        </w:rPr>
      </w:pPr>
      <w:r>
        <w:rPr>
          <w:rFonts w:hint="eastAsia" w:ascii="仿宋" w:hAnsi="仿宋" w:eastAsia="仿宋" w:cs="仿宋"/>
          <w:spacing w:val="-10"/>
          <w:sz w:val="32"/>
          <w:szCs w:val="32"/>
        </w:rPr>
        <w:t>依据《中华人民共和国公司法》第二百一十一条</w:t>
      </w:r>
      <w:r>
        <w:rPr>
          <w:rFonts w:hint="eastAsia" w:ascii="仿宋" w:hAnsi="仿宋" w:eastAsia="仿宋" w:cs="仿宋"/>
          <w:spacing w:val="-10"/>
          <w:sz w:val="32"/>
          <w:szCs w:val="32"/>
          <w:lang w:eastAsia="zh-CN"/>
        </w:rPr>
        <w:t>第一款</w:t>
      </w:r>
      <w:r>
        <w:rPr>
          <w:rFonts w:hint="eastAsia" w:ascii="仿宋" w:hAnsi="仿宋" w:eastAsia="仿宋" w:cs="仿宋"/>
          <w:spacing w:val="-10"/>
          <w:sz w:val="32"/>
          <w:szCs w:val="32"/>
        </w:rPr>
        <w:t>、《中华人民共和国个人独资企业法》第三十六条</w:t>
      </w:r>
      <w:r>
        <w:rPr>
          <w:rFonts w:hint="eastAsia" w:ascii="仿宋" w:hAnsi="仿宋" w:eastAsia="仿宋" w:cs="仿宋"/>
          <w:spacing w:val="-10"/>
          <w:sz w:val="32"/>
          <w:szCs w:val="32"/>
          <w:lang w:eastAsia="zh-CN"/>
        </w:rPr>
        <w:t>的</w:t>
      </w:r>
      <w:r>
        <w:rPr>
          <w:rFonts w:hint="eastAsia" w:ascii="仿宋" w:hAnsi="仿宋" w:eastAsia="仿宋" w:cs="仿宋"/>
          <w:spacing w:val="-10"/>
          <w:sz w:val="32"/>
          <w:szCs w:val="32"/>
        </w:rPr>
        <w:t>规定，本局拟对上述企业作出</w:t>
      </w:r>
      <w:r>
        <w:rPr>
          <w:rFonts w:hint="eastAsia" w:ascii="仿宋" w:hAnsi="仿宋" w:eastAsia="仿宋" w:cs="仿宋"/>
          <w:spacing w:val="-10"/>
          <w:sz w:val="32"/>
          <w:szCs w:val="32"/>
          <w:lang w:eastAsia="zh-CN"/>
        </w:rPr>
        <w:t>如下行政处罚：</w:t>
      </w:r>
      <w:r>
        <w:rPr>
          <w:rFonts w:hint="eastAsia" w:ascii="仿宋" w:hAnsi="仿宋" w:eastAsia="仿宋" w:cs="仿宋"/>
          <w:spacing w:val="-10"/>
          <w:sz w:val="32"/>
          <w:szCs w:val="32"/>
        </w:rPr>
        <w:t>吊销营业执照。</w:t>
      </w:r>
    </w:p>
    <w:p>
      <w:pPr>
        <w:snapToGrid w:val="0"/>
        <w:spacing w:line="360" w:lineRule="auto"/>
        <w:ind w:firstLine="560"/>
        <w:rPr>
          <w:rFonts w:hint="eastAsia" w:ascii="仿宋" w:hAnsi="仿宋" w:eastAsia="仿宋" w:cs="仿宋"/>
          <w:spacing w:val="-10"/>
          <w:sz w:val="32"/>
          <w:szCs w:val="32"/>
        </w:rPr>
      </w:pPr>
      <w:r>
        <w:rPr>
          <w:rFonts w:hint="eastAsia" w:ascii="仿宋" w:hAnsi="仿宋" w:eastAsia="仿宋" w:cs="仿宋"/>
          <w:spacing w:val="-10"/>
          <w:sz w:val="32"/>
          <w:szCs w:val="32"/>
          <w:lang w:eastAsia="zh-CN"/>
        </w:rPr>
        <w:t>根据</w:t>
      </w:r>
      <w:r>
        <w:rPr>
          <w:rFonts w:hint="eastAsia" w:ascii="仿宋" w:hAnsi="仿宋" w:eastAsia="仿宋" w:cs="仿宋"/>
          <w:spacing w:val="-10"/>
          <w:sz w:val="32"/>
          <w:szCs w:val="32"/>
        </w:rPr>
        <w:t>《中华人民共和国行政处罚法》第三十一条、第三十二条、第四十二条</w:t>
      </w:r>
      <w:r>
        <w:rPr>
          <w:rFonts w:hint="eastAsia" w:ascii="仿宋" w:hAnsi="仿宋" w:eastAsia="仿宋" w:cs="仿宋"/>
          <w:spacing w:val="-10"/>
          <w:sz w:val="32"/>
          <w:szCs w:val="32"/>
          <w:lang w:eastAsia="zh-CN"/>
        </w:rPr>
        <w:t>第一款</w:t>
      </w:r>
      <w:r>
        <w:rPr>
          <w:rFonts w:hint="eastAsia" w:ascii="仿宋" w:hAnsi="仿宋" w:eastAsia="仿宋" w:cs="仿宋"/>
          <w:spacing w:val="-10"/>
          <w:sz w:val="32"/>
          <w:szCs w:val="32"/>
        </w:rPr>
        <w:t>和</w:t>
      </w:r>
      <w:r>
        <w:rPr>
          <w:rFonts w:hint="eastAsia" w:ascii="仿宋" w:hAnsi="仿宋" w:eastAsia="仿宋" w:cs="仿宋"/>
          <w:spacing w:val="-10"/>
          <w:sz w:val="32"/>
          <w:szCs w:val="32"/>
          <w:lang w:val="en-US" w:eastAsia="zh-CN"/>
        </w:rPr>
        <w:t>《市场监督管理行政处罚听证暂行办法》第五条第一款第（二）项和第七条第一款</w:t>
      </w:r>
      <w:r>
        <w:rPr>
          <w:rFonts w:hint="eastAsia" w:ascii="仿宋" w:hAnsi="仿宋" w:eastAsia="仿宋" w:cs="仿宋"/>
          <w:spacing w:val="-10"/>
          <w:sz w:val="32"/>
          <w:szCs w:val="32"/>
        </w:rPr>
        <w:t>的规定，上述</w:t>
      </w:r>
      <w:r>
        <w:rPr>
          <w:rFonts w:hint="eastAsia" w:ascii="仿宋" w:hAnsi="仿宋" w:eastAsia="仿宋" w:cs="仿宋"/>
          <w:spacing w:val="-10"/>
          <w:sz w:val="32"/>
          <w:szCs w:val="32"/>
          <w:lang w:eastAsia="zh-CN"/>
        </w:rPr>
        <w:t>所列企业</w:t>
      </w:r>
      <w:r>
        <w:rPr>
          <w:rFonts w:hint="eastAsia" w:ascii="仿宋" w:hAnsi="仿宋" w:eastAsia="仿宋" w:cs="仿宋"/>
          <w:spacing w:val="-10"/>
          <w:sz w:val="32"/>
          <w:szCs w:val="32"/>
        </w:rPr>
        <w:t>有陈述、申辩和要求举行听证的权利。</w:t>
      </w:r>
      <w:r>
        <w:rPr>
          <w:rFonts w:hint="eastAsia" w:ascii="仿宋" w:hAnsi="仿宋" w:eastAsia="仿宋" w:cs="仿宋"/>
          <w:spacing w:val="-10"/>
          <w:sz w:val="32"/>
          <w:szCs w:val="32"/>
          <w:lang w:eastAsia="zh-CN"/>
        </w:rPr>
        <w:t>根据《市场监督管理行政处罚程序暂行规定》第七十四条第一款第（五）项的规定，</w:t>
      </w:r>
      <w:r>
        <w:rPr>
          <w:rFonts w:hint="eastAsia" w:ascii="仿宋" w:hAnsi="仿宋" w:eastAsia="仿宋" w:cs="仿宋"/>
          <w:spacing w:val="-10"/>
          <w:sz w:val="32"/>
          <w:szCs w:val="32"/>
        </w:rPr>
        <w:t>现</w:t>
      </w:r>
      <w:r>
        <w:rPr>
          <w:rFonts w:hint="eastAsia" w:ascii="仿宋" w:hAnsi="仿宋" w:eastAsia="仿宋" w:cs="仿宋"/>
          <w:spacing w:val="-10"/>
          <w:sz w:val="32"/>
          <w:szCs w:val="32"/>
          <w:lang w:eastAsia="zh-CN"/>
        </w:rPr>
        <w:t>以</w:t>
      </w:r>
      <w:r>
        <w:rPr>
          <w:rFonts w:hint="eastAsia" w:ascii="仿宋" w:hAnsi="仿宋" w:eastAsia="仿宋" w:cs="仿宋"/>
          <w:spacing w:val="-10"/>
          <w:sz w:val="32"/>
          <w:szCs w:val="32"/>
        </w:rPr>
        <w:t>公告</w:t>
      </w:r>
      <w:r>
        <w:rPr>
          <w:rFonts w:hint="eastAsia" w:ascii="仿宋" w:hAnsi="仿宋" w:eastAsia="仿宋" w:cs="仿宋"/>
          <w:spacing w:val="-10"/>
          <w:sz w:val="32"/>
          <w:szCs w:val="32"/>
          <w:lang w:eastAsia="zh-CN"/>
        </w:rPr>
        <w:t>方式</w:t>
      </w:r>
      <w:r>
        <w:rPr>
          <w:rFonts w:hint="eastAsia" w:ascii="仿宋" w:hAnsi="仿宋" w:eastAsia="仿宋" w:cs="仿宋"/>
          <w:spacing w:val="-10"/>
          <w:sz w:val="32"/>
          <w:szCs w:val="32"/>
        </w:rPr>
        <w:t>送达</w:t>
      </w:r>
      <w:r>
        <w:rPr>
          <w:rFonts w:hint="eastAsia" w:ascii="仿宋" w:hAnsi="仿宋" w:eastAsia="仿宋" w:cs="仿宋"/>
          <w:spacing w:val="-10"/>
          <w:sz w:val="32"/>
          <w:szCs w:val="32"/>
          <w:lang w:eastAsia="zh-CN"/>
        </w:rPr>
        <w:t>，自本公告发布之日起经过六十日，即视为送达。上述所列企业如有</w:t>
      </w:r>
      <w:r>
        <w:rPr>
          <w:rFonts w:hint="eastAsia" w:ascii="仿宋" w:hAnsi="仿宋" w:eastAsia="仿宋" w:cs="仿宋"/>
          <w:spacing w:val="-10"/>
          <w:sz w:val="32"/>
          <w:szCs w:val="32"/>
        </w:rPr>
        <w:t>陈述、申辩和要求举行听证的，应</w:t>
      </w:r>
      <w:r>
        <w:rPr>
          <w:rFonts w:hint="eastAsia" w:ascii="仿宋" w:hAnsi="仿宋" w:eastAsia="仿宋" w:cs="仿宋"/>
          <w:spacing w:val="-10"/>
          <w:sz w:val="32"/>
          <w:szCs w:val="32"/>
          <w:lang w:eastAsia="zh-CN"/>
        </w:rPr>
        <w:t>于</w:t>
      </w:r>
      <w:r>
        <w:rPr>
          <w:rFonts w:hint="eastAsia" w:ascii="仿宋" w:hAnsi="仿宋" w:eastAsia="仿宋" w:cs="仿宋"/>
          <w:spacing w:val="-10"/>
          <w:sz w:val="32"/>
          <w:szCs w:val="32"/>
        </w:rPr>
        <w:t>本公告</w:t>
      </w:r>
      <w:r>
        <w:rPr>
          <w:rFonts w:hint="eastAsia" w:ascii="仿宋" w:hAnsi="仿宋" w:eastAsia="仿宋" w:cs="仿宋"/>
          <w:spacing w:val="-10"/>
          <w:sz w:val="32"/>
          <w:szCs w:val="32"/>
          <w:lang w:eastAsia="zh-CN"/>
        </w:rPr>
        <w:t>送达之日起三个工作日内以书面或者口头形式</w:t>
      </w:r>
      <w:r>
        <w:rPr>
          <w:rFonts w:hint="eastAsia" w:ascii="仿宋" w:hAnsi="仿宋" w:eastAsia="仿宋" w:cs="仿宋"/>
          <w:spacing w:val="-10"/>
          <w:sz w:val="32"/>
          <w:szCs w:val="32"/>
        </w:rPr>
        <w:t>向本局提出。逾期未提出的，视为放弃此权利。</w:t>
      </w:r>
    </w:p>
    <w:p>
      <w:pPr>
        <w:snapToGrid w:val="0"/>
        <w:spacing w:line="360" w:lineRule="auto"/>
        <w:ind w:firstLine="560"/>
        <w:rPr>
          <w:rFonts w:hint="eastAsia" w:ascii="仿宋" w:hAnsi="仿宋" w:eastAsia="仿宋" w:cs="仿宋"/>
          <w:spacing w:val="-10"/>
          <w:sz w:val="32"/>
          <w:szCs w:val="32"/>
          <w:lang w:eastAsia="zh-CN"/>
        </w:rPr>
      </w:pPr>
      <w:r>
        <w:rPr>
          <w:rFonts w:hint="eastAsia" w:ascii="仿宋" w:hAnsi="仿宋" w:eastAsia="仿宋" w:cs="仿宋"/>
          <w:spacing w:val="-10"/>
          <w:sz w:val="32"/>
          <w:szCs w:val="32"/>
          <w:lang w:eastAsia="zh-CN"/>
        </w:rPr>
        <w:t>本公告在夏县人民政府网站予以刊登发布，同时在夏县市场监督管理局大门公告栏予以张贴公告。</w:t>
      </w:r>
    </w:p>
    <w:p>
      <w:pPr>
        <w:snapToGrid w:val="0"/>
        <w:spacing w:line="360" w:lineRule="auto"/>
        <w:ind w:firstLine="560"/>
        <w:rPr>
          <w:rFonts w:hint="eastAsia" w:ascii="仿宋" w:hAnsi="仿宋" w:eastAsia="仿宋" w:cs="仿宋"/>
          <w:spacing w:val="-10"/>
          <w:sz w:val="32"/>
          <w:szCs w:val="32"/>
          <w:lang w:eastAsia="zh-CN"/>
        </w:rPr>
      </w:pPr>
      <w:r>
        <w:rPr>
          <w:rFonts w:hint="eastAsia" w:ascii="仿宋" w:hAnsi="仿宋" w:eastAsia="仿宋" w:cs="仿宋"/>
          <w:spacing w:val="-10"/>
          <w:sz w:val="32"/>
          <w:szCs w:val="32"/>
          <w:lang w:eastAsia="zh-CN"/>
        </w:rPr>
        <w:t>附件：</w:t>
      </w:r>
      <w:r>
        <w:rPr>
          <w:rFonts w:hint="eastAsia" w:ascii="仿宋" w:hAnsi="仿宋" w:eastAsia="仿宋" w:cs="仿宋"/>
          <w:spacing w:val="-10"/>
          <w:sz w:val="32"/>
          <w:szCs w:val="32"/>
          <w:lang w:val="en-US" w:eastAsia="zh-CN"/>
        </w:rPr>
        <w:t>2020年第二批</w:t>
      </w:r>
      <w:r>
        <w:rPr>
          <w:rFonts w:hint="eastAsia" w:ascii="仿宋" w:hAnsi="仿宋" w:eastAsia="仿宋" w:cs="仿宋"/>
          <w:spacing w:val="-10"/>
          <w:sz w:val="32"/>
          <w:szCs w:val="32"/>
          <w:lang w:eastAsia="zh-CN"/>
        </w:rPr>
        <w:t>拟吊销营业执照企业名单</w:t>
      </w:r>
    </w:p>
    <w:p>
      <w:pPr>
        <w:snapToGrid w:val="0"/>
        <w:spacing w:line="360" w:lineRule="auto"/>
        <w:ind w:firstLine="600" w:firstLineChars="200"/>
        <w:rPr>
          <w:rFonts w:hint="eastAsia" w:ascii="仿宋" w:hAnsi="仿宋" w:eastAsia="仿宋" w:cs="仿宋"/>
          <w:spacing w:val="-10"/>
          <w:sz w:val="32"/>
          <w:szCs w:val="32"/>
          <w:lang w:eastAsia="zh-CN"/>
        </w:rPr>
      </w:pPr>
      <w:r>
        <w:rPr>
          <w:rFonts w:hint="eastAsia" w:ascii="仿宋" w:hAnsi="仿宋" w:eastAsia="仿宋" w:cs="仿宋"/>
          <w:spacing w:val="-10"/>
          <w:sz w:val="32"/>
          <w:szCs w:val="32"/>
          <w:lang w:eastAsia="zh-CN"/>
        </w:rPr>
        <w:t>联系人：陈云毅、李万龙</w:t>
      </w:r>
      <w:r>
        <w:rPr>
          <w:rFonts w:hint="eastAsia" w:ascii="仿宋" w:hAnsi="仿宋" w:eastAsia="仿宋" w:cs="仿宋"/>
          <w:spacing w:val="-10"/>
          <w:sz w:val="32"/>
          <w:szCs w:val="32"/>
          <w:lang w:val="en-US" w:eastAsia="zh-CN"/>
        </w:rPr>
        <w:t xml:space="preserve">      </w:t>
      </w:r>
      <w:r>
        <w:rPr>
          <w:rFonts w:hint="eastAsia" w:ascii="仿宋" w:hAnsi="仿宋" w:eastAsia="仿宋" w:cs="仿宋"/>
          <w:spacing w:val="-10"/>
          <w:sz w:val="32"/>
          <w:szCs w:val="32"/>
          <w:lang w:eastAsia="zh-CN"/>
        </w:rPr>
        <w:t>联系电话：</w:t>
      </w:r>
      <w:r>
        <w:rPr>
          <w:rFonts w:hint="eastAsia" w:ascii="仿宋" w:hAnsi="仿宋" w:eastAsia="仿宋" w:cs="仿宋"/>
          <w:spacing w:val="-10"/>
          <w:sz w:val="32"/>
          <w:szCs w:val="32"/>
          <w:lang w:val="en-US" w:eastAsia="zh-CN"/>
        </w:rPr>
        <w:t>0359-8532701</w:t>
      </w:r>
    </w:p>
    <w:p>
      <w:pPr>
        <w:snapToGrid w:val="0"/>
        <w:spacing w:line="360" w:lineRule="auto"/>
        <w:ind w:firstLine="4092" w:firstLineChars="1364"/>
        <w:rPr>
          <w:rFonts w:hint="eastAsia" w:ascii="仿宋" w:hAnsi="仿宋" w:eastAsia="仿宋" w:cs="仿宋"/>
          <w:spacing w:val="-10"/>
          <w:sz w:val="32"/>
          <w:szCs w:val="32"/>
          <w:lang w:eastAsia="zh-CN"/>
        </w:rPr>
      </w:pPr>
      <w:r>
        <w:rPr>
          <w:rFonts w:hint="eastAsia" w:ascii="仿宋" w:hAnsi="仿宋" w:eastAsia="仿宋" w:cs="仿宋"/>
          <w:spacing w:val="-10"/>
          <w:sz w:val="32"/>
          <w:szCs w:val="32"/>
          <w:lang w:eastAsia="zh-CN"/>
        </w:rPr>
        <w:t>夏县市场监督管理局</w:t>
      </w:r>
      <w:bookmarkStart w:id="0" w:name="_GoBack"/>
      <w:bookmarkEnd w:id="0"/>
    </w:p>
    <w:p>
      <w:pPr>
        <w:snapToGrid w:val="0"/>
        <w:spacing w:line="360" w:lineRule="auto"/>
        <w:rPr>
          <w:rFonts w:hint="eastAsia" w:asciiTheme="majorEastAsia" w:hAnsiTheme="majorEastAsia" w:eastAsiaTheme="majorEastAsia" w:cstheme="majorEastAsia"/>
          <w:color w:val="auto"/>
          <w:sz w:val="24"/>
          <w:szCs w:val="24"/>
          <w:lang w:val="en-US" w:eastAsia="zh-CN"/>
        </w:rPr>
      </w:pPr>
      <w:r>
        <w:rPr>
          <w:rFonts w:hint="eastAsia" w:ascii="仿宋" w:hAnsi="仿宋" w:eastAsia="仿宋" w:cs="仿宋"/>
          <w:spacing w:val="-10"/>
          <w:sz w:val="32"/>
          <w:szCs w:val="32"/>
        </w:rPr>
        <w:t xml:space="preserve">                               </w:t>
      </w:r>
      <w:r>
        <w:rPr>
          <w:rFonts w:hint="eastAsia" w:ascii="仿宋" w:hAnsi="仿宋" w:eastAsia="仿宋" w:cs="仿宋"/>
          <w:color w:val="C00000"/>
          <w:spacing w:val="-10"/>
          <w:sz w:val="32"/>
          <w:szCs w:val="32"/>
        </w:rPr>
        <w:t xml:space="preserve"> </w:t>
      </w:r>
      <w:r>
        <w:rPr>
          <w:rFonts w:hint="eastAsia" w:ascii="仿宋" w:hAnsi="仿宋" w:eastAsia="仿宋" w:cs="仿宋"/>
          <w:color w:val="auto"/>
          <w:spacing w:val="-10"/>
          <w:sz w:val="32"/>
          <w:szCs w:val="32"/>
          <w:lang w:val="en-US" w:eastAsia="zh-CN"/>
        </w:rPr>
        <w:t>2020</w:t>
      </w:r>
      <w:r>
        <w:rPr>
          <w:rFonts w:hint="eastAsia" w:ascii="仿宋" w:hAnsi="仿宋" w:eastAsia="仿宋" w:cs="仿宋"/>
          <w:color w:val="auto"/>
          <w:spacing w:val="-10"/>
          <w:sz w:val="32"/>
          <w:szCs w:val="32"/>
        </w:rPr>
        <w:t>年</w:t>
      </w:r>
      <w:r>
        <w:rPr>
          <w:rFonts w:hint="eastAsia" w:ascii="仿宋" w:hAnsi="仿宋" w:eastAsia="仿宋" w:cs="仿宋"/>
          <w:color w:val="auto"/>
          <w:spacing w:val="-10"/>
          <w:sz w:val="32"/>
          <w:szCs w:val="32"/>
          <w:lang w:val="en-US" w:eastAsia="zh-CN"/>
        </w:rPr>
        <w:t>6</w:t>
      </w:r>
      <w:r>
        <w:rPr>
          <w:rFonts w:hint="eastAsia" w:ascii="仿宋" w:hAnsi="仿宋" w:eastAsia="仿宋" w:cs="仿宋"/>
          <w:color w:val="auto"/>
          <w:spacing w:val="-10"/>
          <w:sz w:val="32"/>
          <w:szCs w:val="32"/>
        </w:rPr>
        <w:t>月</w:t>
      </w:r>
      <w:r>
        <w:rPr>
          <w:rFonts w:hint="eastAsia" w:ascii="仿宋" w:hAnsi="仿宋" w:eastAsia="仿宋" w:cs="仿宋"/>
          <w:color w:val="auto"/>
          <w:spacing w:val="-10"/>
          <w:sz w:val="32"/>
          <w:szCs w:val="32"/>
          <w:lang w:val="en-US" w:eastAsia="zh-CN"/>
        </w:rPr>
        <w:t>30日</w:t>
      </w:r>
    </w:p>
    <w:p>
      <w:pPr>
        <w:spacing w:line="360" w:lineRule="auto"/>
        <w:jc w:val="both"/>
        <w:rPr>
          <w:rFonts w:hint="eastAsia" w:ascii="仿宋" w:hAnsi="仿宋" w:eastAsia="仿宋" w:cs="仿宋"/>
          <w:spacing w:val="-10"/>
          <w:sz w:val="30"/>
          <w:szCs w:val="30"/>
          <w:lang w:val="en-US" w:eastAsia="zh-CN"/>
        </w:rPr>
      </w:pPr>
      <w:r>
        <w:rPr>
          <w:rFonts w:hint="eastAsia" w:ascii="宋体" w:hAnsi="宋体" w:eastAsia="宋体" w:cs="宋体"/>
          <w:b w:val="0"/>
          <w:bCs w:val="0"/>
          <w:sz w:val="32"/>
          <w:szCs w:val="32"/>
          <w:lang w:val="en-US" w:eastAsia="zh-CN"/>
        </w:rPr>
        <w:t>附件</w:t>
      </w:r>
      <w:r>
        <w:rPr>
          <w:rFonts w:hint="eastAsia" w:ascii="宋体" w:hAnsi="宋体" w:eastAsia="宋体" w:cs="宋体"/>
          <w:b w:val="0"/>
          <w:bCs w:val="0"/>
          <w:sz w:val="36"/>
          <w:szCs w:val="36"/>
          <w:lang w:val="en-US" w:eastAsia="zh-CN"/>
        </w:rPr>
        <w:t>：</w:t>
      </w:r>
    </w:p>
    <w:p>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夏县市场监督管理局</w:t>
      </w:r>
    </w:p>
    <w:p>
      <w:pPr>
        <w:spacing w:line="360" w:lineRule="auto"/>
        <w:jc w:val="center"/>
        <w:rPr>
          <w:rFonts w:hint="eastAsia" w:ascii="宋体" w:hAnsi="宋体" w:eastAsia="宋体" w:cs="宋体"/>
          <w:b/>
          <w:bCs/>
          <w:spacing w:val="-10"/>
          <w:sz w:val="36"/>
          <w:szCs w:val="36"/>
          <w:lang w:val="en-US" w:eastAsia="zh-CN"/>
        </w:rPr>
      </w:pPr>
      <w:r>
        <w:rPr>
          <w:rFonts w:hint="eastAsia" w:ascii="宋体" w:hAnsi="宋体" w:eastAsia="宋体" w:cs="宋体"/>
          <w:b/>
          <w:bCs/>
          <w:sz w:val="36"/>
          <w:szCs w:val="36"/>
          <w:lang w:val="en-US" w:eastAsia="zh-CN"/>
        </w:rPr>
        <w:t>2020年第二批拟吊销营业执照企业名单</w:t>
      </w:r>
    </w:p>
    <w:tbl>
      <w:tblPr>
        <w:tblStyle w:val="7"/>
        <w:tblW w:w="10440" w:type="dxa"/>
        <w:tblInd w:w="-8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785"/>
        <w:gridCol w:w="2220"/>
        <w:gridCol w:w="1215"/>
        <w:gridCol w:w="870"/>
        <w:gridCol w:w="210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780"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b/>
                <w:i w:val="0"/>
                <w:color w:val="000000"/>
                <w:kern w:val="0"/>
                <w:sz w:val="21"/>
                <w:szCs w:val="21"/>
                <w:u w:val="none"/>
                <w:lang w:val="en-US" w:eastAsia="zh-CN" w:bidi="ar"/>
              </w:rPr>
              <w:t>序号</w:t>
            </w:r>
          </w:p>
        </w:tc>
        <w:tc>
          <w:tcPr>
            <w:tcW w:w="1785"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b/>
                <w:i w:val="0"/>
                <w:color w:val="000000"/>
                <w:kern w:val="0"/>
                <w:sz w:val="21"/>
                <w:szCs w:val="21"/>
                <w:u w:val="none"/>
                <w:lang w:val="en-US" w:eastAsia="zh-CN" w:bidi="ar"/>
              </w:rPr>
              <w:t>企业名称</w:t>
            </w:r>
          </w:p>
        </w:tc>
        <w:tc>
          <w:tcPr>
            <w:tcW w:w="2220"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统一社会信用代码</w:t>
            </w:r>
          </w:p>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b/>
                <w:i w:val="0"/>
                <w:color w:val="000000"/>
                <w:kern w:val="0"/>
                <w:sz w:val="21"/>
                <w:szCs w:val="21"/>
                <w:u w:val="none"/>
                <w:lang w:val="en-US" w:eastAsia="zh-CN" w:bidi="ar"/>
              </w:rPr>
              <w:t>/注册号</w:t>
            </w:r>
          </w:p>
        </w:tc>
        <w:tc>
          <w:tcPr>
            <w:tcW w:w="1215"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b/>
                <w:i w:val="0"/>
                <w:color w:val="000000"/>
                <w:kern w:val="0"/>
                <w:sz w:val="21"/>
                <w:szCs w:val="21"/>
                <w:u w:val="none"/>
                <w:lang w:val="en-US" w:eastAsia="zh-CN" w:bidi="ar"/>
              </w:rPr>
              <w:t>企业类型</w:t>
            </w:r>
          </w:p>
        </w:tc>
        <w:tc>
          <w:tcPr>
            <w:tcW w:w="870"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b/>
                <w:i w:val="0"/>
                <w:color w:val="000000"/>
                <w:kern w:val="0"/>
                <w:sz w:val="21"/>
                <w:szCs w:val="21"/>
                <w:u w:val="none"/>
                <w:lang w:val="en-US" w:eastAsia="zh-CN" w:bidi="ar"/>
              </w:rPr>
              <w:t>法定</w:t>
            </w:r>
            <w:r>
              <w:rPr>
                <w:rFonts w:hint="eastAsia" w:ascii="仿宋" w:hAnsi="仿宋" w:eastAsia="仿宋" w:cs="仿宋"/>
                <w:b/>
                <w:i w:val="0"/>
                <w:color w:val="000000"/>
                <w:kern w:val="0"/>
                <w:sz w:val="21"/>
                <w:szCs w:val="21"/>
                <w:u w:val="none"/>
                <w:lang w:val="en-US" w:eastAsia="zh-CN" w:bidi="ar"/>
              </w:rPr>
              <w:br w:type="textWrapping"/>
            </w:r>
            <w:r>
              <w:rPr>
                <w:rFonts w:hint="eastAsia" w:ascii="仿宋" w:hAnsi="仿宋" w:eastAsia="仿宋" w:cs="仿宋"/>
                <w:b/>
                <w:i w:val="0"/>
                <w:color w:val="000000"/>
                <w:kern w:val="0"/>
                <w:sz w:val="21"/>
                <w:szCs w:val="21"/>
                <w:u w:val="none"/>
                <w:lang w:val="en-US" w:eastAsia="zh-CN" w:bidi="ar"/>
              </w:rPr>
              <w:t>代表人</w:t>
            </w:r>
          </w:p>
        </w:tc>
        <w:tc>
          <w:tcPr>
            <w:tcW w:w="2100"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b/>
                <w:i w:val="0"/>
                <w:color w:val="000000"/>
                <w:kern w:val="0"/>
                <w:sz w:val="21"/>
                <w:szCs w:val="21"/>
                <w:u w:val="none"/>
                <w:lang w:val="en-US" w:eastAsia="zh-CN" w:bidi="ar"/>
              </w:rPr>
              <w:t>经营场所</w:t>
            </w:r>
          </w:p>
        </w:tc>
        <w:tc>
          <w:tcPr>
            <w:tcW w:w="1470"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案件号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78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1</w:t>
            </w:r>
          </w:p>
        </w:tc>
        <w:tc>
          <w:tcPr>
            <w:tcW w:w="178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夏县家家乐家俱安装有限公司</w:t>
            </w:r>
          </w:p>
        </w:tc>
        <w:tc>
          <w:tcPr>
            <w:tcW w:w="222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91140828MA0K616Q1E</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140828008013316</w:t>
            </w:r>
          </w:p>
        </w:tc>
        <w:tc>
          <w:tcPr>
            <w:tcW w:w="121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有限责任公司</w:t>
            </w:r>
          </w:p>
        </w:tc>
        <w:tc>
          <w:tcPr>
            <w:tcW w:w="87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吴少飞</w:t>
            </w:r>
          </w:p>
        </w:tc>
        <w:tc>
          <w:tcPr>
            <w:tcW w:w="210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山西省运城市夏县禹王乡禹王村三级路02巷第十一组04号</w:t>
            </w:r>
          </w:p>
        </w:tc>
        <w:tc>
          <w:tcPr>
            <w:tcW w:w="147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夏市监企听告字〔2020〕32号</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78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2</w:t>
            </w:r>
          </w:p>
        </w:tc>
        <w:tc>
          <w:tcPr>
            <w:tcW w:w="178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夏县司马芝兰免烧砖厂</w:t>
            </w:r>
          </w:p>
        </w:tc>
        <w:tc>
          <w:tcPr>
            <w:tcW w:w="222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140828000001293</w:t>
            </w:r>
          </w:p>
        </w:tc>
        <w:tc>
          <w:tcPr>
            <w:tcW w:w="121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非公司私营企业</w:t>
            </w:r>
          </w:p>
        </w:tc>
        <w:tc>
          <w:tcPr>
            <w:tcW w:w="87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梁志刚</w:t>
            </w:r>
          </w:p>
        </w:tc>
        <w:tc>
          <w:tcPr>
            <w:tcW w:w="210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夏县禹王乡司马村</w:t>
            </w:r>
          </w:p>
        </w:tc>
        <w:tc>
          <w:tcPr>
            <w:tcW w:w="147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夏市监企听告字〔2020〕33号</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8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3</w:t>
            </w:r>
          </w:p>
        </w:tc>
        <w:tc>
          <w:tcPr>
            <w:tcW w:w="178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夏县李秀商贸有限公司</w:t>
            </w:r>
          </w:p>
        </w:tc>
        <w:tc>
          <w:tcPr>
            <w:tcW w:w="222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91140828MA0K5CJJ14</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140828008013017</w:t>
            </w:r>
          </w:p>
        </w:tc>
        <w:tc>
          <w:tcPr>
            <w:tcW w:w="121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有限责任公司</w:t>
            </w:r>
          </w:p>
        </w:tc>
        <w:tc>
          <w:tcPr>
            <w:tcW w:w="87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李秀气</w:t>
            </w:r>
          </w:p>
        </w:tc>
        <w:tc>
          <w:tcPr>
            <w:tcW w:w="210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山西省运城市夏县禹王乡禹王村东200米太三路边</w:t>
            </w:r>
          </w:p>
        </w:tc>
        <w:tc>
          <w:tcPr>
            <w:tcW w:w="147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夏市监企听告字〔2020〕34号</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78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4</w:t>
            </w:r>
          </w:p>
        </w:tc>
        <w:tc>
          <w:tcPr>
            <w:tcW w:w="178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夏县宇森新型建材有限责任公司</w:t>
            </w:r>
          </w:p>
        </w:tc>
        <w:tc>
          <w:tcPr>
            <w:tcW w:w="222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140828100051603</w:t>
            </w:r>
          </w:p>
        </w:tc>
        <w:tc>
          <w:tcPr>
            <w:tcW w:w="121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有限责任公司</w:t>
            </w:r>
          </w:p>
        </w:tc>
        <w:tc>
          <w:tcPr>
            <w:tcW w:w="87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董亚</w:t>
            </w:r>
          </w:p>
        </w:tc>
        <w:tc>
          <w:tcPr>
            <w:tcW w:w="210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山西省运城市夏县禹王乡禹王村</w:t>
            </w:r>
          </w:p>
        </w:tc>
        <w:tc>
          <w:tcPr>
            <w:tcW w:w="147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夏市监企听告字〔2020〕35号</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78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5</w:t>
            </w:r>
          </w:p>
        </w:tc>
        <w:tc>
          <w:tcPr>
            <w:tcW w:w="178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夏县大牛和二牛电子商务有限公司</w:t>
            </w:r>
          </w:p>
        </w:tc>
        <w:tc>
          <w:tcPr>
            <w:tcW w:w="222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91140828MA0GR6YQ4F</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140828008002635</w:t>
            </w:r>
          </w:p>
        </w:tc>
        <w:tc>
          <w:tcPr>
            <w:tcW w:w="121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有限责任公司</w:t>
            </w:r>
          </w:p>
        </w:tc>
        <w:tc>
          <w:tcPr>
            <w:tcW w:w="87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薛迁</w:t>
            </w:r>
          </w:p>
        </w:tc>
        <w:tc>
          <w:tcPr>
            <w:tcW w:w="210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山西省运城市夏县禹王乡庙后辛庄村中心大街第三组05号</w:t>
            </w:r>
          </w:p>
        </w:tc>
        <w:tc>
          <w:tcPr>
            <w:tcW w:w="147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夏市监企听告字〔2020〕36号</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trPr>
        <w:tc>
          <w:tcPr>
            <w:tcW w:w="78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6</w:t>
            </w:r>
          </w:p>
        </w:tc>
        <w:tc>
          <w:tcPr>
            <w:tcW w:w="178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夏县东山铝业有限公司</w:t>
            </w:r>
          </w:p>
        </w:tc>
        <w:tc>
          <w:tcPr>
            <w:tcW w:w="222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140828101000407</w:t>
            </w:r>
          </w:p>
        </w:tc>
        <w:tc>
          <w:tcPr>
            <w:tcW w:w="121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有限责任公司(自然人投资或控股)</w:t>
            </w:r>
          </w:p>
        </w:tc>
        <w:tc>
          <w:tcPr>
            <w:tcW w:w="87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林庚</w:t>
            </w:r>
          </w:p>
        </w:tc>
        <w:tc>
          <w:tcPr>
            <w:tcW w:w="210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山西省运城市夏县祁家河乡祁家河村</w:t>
            </w:r>
          </w:p>
        </w:tc>
        <w:tc>
          <w:tcPr>
            <w:tcW w:w="147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夏市监企听告字〔2020〕37号</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78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7</w:t>
            </w:r>
          </w:p>
        </w:tc>
        <w:tc>
          <w:tcPr>
            <w:tcW w:w="178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夏县堃晟茶叶有限公司</w:t>
            </w:r>
          </w:p>
        </w:tc>
        <w:tc>
          <w:tcPr>
            <w:tcW w:w="222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140828100046797</w:t>
            </w:r>
          </w:p>
        </w:tc>
        <w:tc>
          <w:tcPr>
            <w:tcW w:w="121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有限责任公司（自然人独资）</w:t>
            </w:r>
          </w:p>
        </w:tc>
        <w:tc>
          <w:tcPr>
            <w:tcW w:w="87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任飞鹏</w:t>
            </w:r>
          </w:p>
        </w:tc>
        <w:tc>
          <w:tcPr>
            <w:tcW w:w="210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山西省运城市夏县祁家河乡西山头村</w:t>
            </w:r>
          </w:p>
        </w:tc>
        <w:tc>
          <w:tcPr>
            <w:tcW w:w="147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夏市监企听告字〔2020〕38号</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bl>
    <w:p>
      <w:pPr>
        <w:spacing w:line="360" w:lineRule="auto"/>
        <w:rPr>
          <w:rFonts w:hint="eastAsia"/>
          <w:lang w:val="en-US" w:eastAsia="zh-CN"/>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ospace">
    <w:altName w:val="hakuyoxingshu7000"/>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汉仪大宋简">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Mongolian Baiti">
    <w:panose1 w:val="03000500000000000000"/>
    <w:charset w:val="00"/>
    <w:family w:val="script"/>
    <w:pitch w:val="default"/>
    <w:sig w:usb0="80000023" w:usb1="00000000" w:usb2="0002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decorative"/>
    <w:pitch w:val="default"/>
    <w:sig w:usb0="800002BF" w:usb1="38CF7CFA" w:usb2="00000016" w:usb3="00000000" w:csb0="00040001" w:csb1="00000000"/>
  </w:font>
  <w:font w:name="Lucida Sans">
    <w:altName w:val="Lucida Sans Unicode"/>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PMingLiU">
    <w:panose1 w:val="02020500000000000000"/>
    <w:charset w:val="88"/>
    <w:family w:val="auto"/>
    <w:pitch w:val="default"/>
    <w:sig w:usb0="A00002FF" w:usb1="28CFFCFA" w:usb2="00000016" w:usb3="00000000" w:csb0="00100001" w:csb1="00000000"/>
  </w:font>
  <w:font w:name="Comic Sans MS">
    <w:panose1 w:val="030F0702030302020204"/>
    <w:charset w:val="00"/>
    <w:family w:val="auto"/>
    <w:pitch w:val="default"/>
    <w:sig w:usb0="00000287" w:usb1="00000000" w:usb2="00000000" w:usb3="00000000" w:csb0="2000009F" w:csb1="00000000"/>
  </w:font>
  <w:font w:name="楷体_GB2312">
    <w:altName w:val="楷体"/>
    <w:panose1 w:val="0201060903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7274"/>
    <w:rsid w:val="012B1814"/>
    <w:rsid w:val="0191785F"/>
    <w:rsid w:val="038A7C0C"/>
    <w:rsid w:val="03C46C1A"/>
    <w:rsid w:val="03D26C8A"/>
    <w:rsid w:val="03F350C2"/>
    <w:rsid w:val="053A2710"/>
    <w:rsid w:val="071E74E5"/>
    <w:rsid w:val="07413746"/>
    <w:rsid w:val="081A40B1"/>
    <w:rsid w:val="08BA4943"/>
    <w:rsid w:val="08E309DF"/>
    <w:rsid w:val="09BB47E2"/>
    <w:rsid w:val="0A324490"/>
    <w:rsid w:val="0AD15A75"/>
    <w:rsid w:val="0AF148B4"/>
    <w:rsid w:val="0B3558C3"/>
    <w:rsid w:val="0B5F0688"/>
    <w:rsid w:val="0BF476AF"/>
    <w:rsid w:val="0C141A2E"/>
    <w:rsid w:val="0CB81414"/>
    <w:rsid w:val="0CD16779"/>
    <w:rsid w:val="0D05630D"/>
    <w:rsid w:val="0D4B6EBE"/>
    <w:rsid w:val="0F7B28F3"/>
    <w:rsid w:val="10AE71A0"/>
    <w:rsid w:val="114812CE"/>
    <w:rsid w:val="11A3261D"/>
    <w:rsid w:val="11B06E73"/>
    <w:rsid w:val="120A2309"/>
    <w:rsid w:val="121F768A"/>
    <w:rsid w:val="129272B1"/>
    <w:rsid w:val="13A94A9C"/>
    <w:rsid w:val="13F8671B"/>
    <w:rsid w:val="14A03C0D"/>
    <w:rsid w:val="14A676BF"/>
    <w:rsid w:val="14B3121B"/>
    <w:rsid w:val="14D11F0A"/>
    <w:rsid w:val="14FA7549"/>
    <w:rsid w:val="15D9391A"/>
    <w:rsid w:val="16734EC3"/>
    <w:rsid w:val="167C4300"/>
    <w:rsid w:val="16F03503"/>
    <w:rsid w:val="1715612D"/>
    <w:rsid w:val="1858065E"/>
    <w:rsid w:val="18757CA7"/>
    <w:rsid w:val="18BB257E"/>
    <w:rsid w:val="190D35AD"/>
    <w:rsid w:val="1A6F5926"/>
    <w:rsid w:val="1ADA13D6"/>
    <w:rsid w:val="1AE579F4"/>
    <w:rsid w:val="1B5209BB"/>
    <w:rsid w:val="1B9D57EE"/>
    <w:rsid w:val="1BAF116C"/>
    <w:rsid w:val="1C914289"/>
    <w:rsid w:val="1CCB2964"/>
    <w:rsid w:val="1CF24C8B"/>
    <w:rsid w:val="1D072EA7"/>
    <w:rsid w:val="1D5946DE"/>
    <w:rsid w:val="1F64023E"/>
    <w:rsid w:val="20066558"/>
    <w:rsid w:val="21281953"/>
    <w:rsid w:val="2175620C"/>
    <w:rsid w:val="228A497D"/>
    <w:rsid w:val="22AA3FC4"/>
    <w:rsid w:val="245E4549"/>
    <w:rsid w:val="24C862C7"/>
    <w:rsid w:val="25D4160E"/>
    <w:rsid w:val="26200BF6"/>
    <w:rsid w:val="278A04D8"/>
    <w:rsid w:val="27DA3B3F"/>
    <w:rsid w:val="27F54235"/>
    <w:rsid w:val="280F73EB"/>
    <w:rsid w:val="2B281ED7"/>
    <w:rsid w:val="2B331EAD"/>
    <w:rsid w:val="2B515DB6"/>
    <w:rsid w:val="2B6E7E11"/>
    <w:rsid w:val="2B6F6FAB"/>
    <w:rsid w:val="2C5D4482"/>
    <w:rsid w:val="2C617E86"/>
    <w:rsid w:val="2C6E7D6D"/>
    <w:rsid w:val="2E1106E6"/>
    <w:rsid w:val="2E8A0CC5"/>
    <w:rsid w:val="2FF97E23"/>
    <w:rsid w:val="300456B1"/>
    <w:rsid w:val="30562FCC"/>
    <w:rsid w:val="320758F5"/>
    <w:rsid w:val="32101A9C"/>
    <w:rsid w:val="32527257"/>
    <w:rsid w:val="32905101"/>
    <w:rsid w:val="33DC2397"/>
    <w:rsid w:val="36426F7A"/>
    <w:rsid w:val="38202DF2"/>
    <w:rsid w:val="383E1817"/>
    <w:rsid w:val="384D106C"/>
    <w:rsid w:val="38F04932"/>
    <w:rsid w:val="38FB16C5"/>
    <w:rsid w:val="39587A7B"/>
    <w:rsid w:val="397D374D"/>
    <w:rsid w:val="3ADF496B"/>
    <w:rsid w:val="3B482CBF"/>
    <w:rsid w:val="3B7C0815"/>
    <w:rsid w:val="3C722ADB"/>
    <w:rsid w:val="3CD56E35"/>
    <w:rsid w:val="3CF50D20"/>
    <w:rsid w:val="3E5A094D"/>
    <w:rsid w:val="3F1A4BAA"/>
    <w:rsid w:val="3F3B2395"/>
    <w:rsid w:val="3FB5663D"/>
    <w:rsid w:val="400A2FE4"/>
    <w:rsid w:val="402662A3"/>
    <w:rsid w:val="40CA33FA"/>
    <w:rsid w:val="42AC4F96"/>
    <w:rsid w:val="440E003D"/>
    <w:rsid w:val="44176534"/>
    <w:rsid w:val="44940A15"/>
    <w:rsid w:val="4543751C"/>
    <w:rsid w:val="45985D4E"/>
    <w:rsid w:val="45F325CF"/>
    <w:rsid w:val="465856F7"/>
    <w:rsid w:val="47552481"/>
    <w:rsid w:val="478042F8"/>
    <w:rsid w:val="47C26F4C"/>
    <w:rsid w:val="47C404CD"/>
    <w:rsid w:val="48155F12"/>
    <w:rsid w:val="4842685A"/>
    <w:rsid w:val="498F0D8F"/>
    <w:rsid w:val="4A71464E"/>
    <w:rsid w:val="4C1508F5"/>
    <w:rsid w:val="4C3937D9"/>
    <w:rsid w:val="4CFF17FA"/>
    <w:rsid w:val="4D463315"/>
    <w:rsid w:val="4D564702"/>
    <w:rsid w:val="4DAD3CB2"/>
    <w:rsid w:val="4F4652A7"/>
    <w:rsid w:val="50DE02BD"/>
    <w:rsid w:val="525B3BA9"/>
    <w:rsid w:val="5267069A"/>
    <w:rsid w:val="53244FEA"/>
    <w:rsid w:val="53962EAC"/>
    <w:rsid w:val="544B700C"/>
    <w:rsid w:val="55B255C3"/>
    <w:rsid w:val="561B1DE6"/>
    <w:rsid w:val="56244647"/>
    <w:rsid w:val="566276C6"/>
    <w:rsid w:val="57E87DBA"/>
    <w:rsid w:val="58AA7D0E"/>
    <w:rsid w:val="58D15FE8"/>
    <w:rsid w:val="5A6C0519"/>
    <w:rsid w:val="5AA57518"/>
    <w:rsid w:val="5B3E5F7E"/>
    <w:rsid w:val="5BD46C16"/>
    <w:rsid w:val="5DC61748"/>
    <w:rsid w:val="5DC84008"/>
    <w:rsid w:val="5EE05FCF"/>
    <w:rsid w:val="5F882EDB"/>
    <w:rsid w:val="5F8A359E"/>
    <w:rsid w:val="5FAC69C9"/>
    <w:rsid w:val="630C4BDE"/>
    <w:rsid w:val="63790D5C"/>
    <w:rsid w:val="649952B1"/>
    <w:rsid w:val="65190F57"/>
    <w:rsid w:val="66284B26"/>
    <w:rsid w:val="66292647"/>
    <w:rsid w:val="674D2C02"/>
    <w:rsid w:val="685000E5"/>
    <w:rsid w:val="69192AB5"/>
    <w:rsid w:val="6A1048CA"/>
    <w:rsid w:val="6A6B23A4"/>
    <w:rsid w:val="6A8060BD"/>
    <w:rsid w:val="6AB444FA"/>
    <w:rsid w:val="6B3B45E2"/>
    <w:rsid w:val="6BB31E70"/>
    <w:rsid w:val="6BC751B6"/>
    <w:rsid w:val="6C600BAB"/>
    <w:rsid w:val="6C942692"/>
    <w:rsid w:val="6CAD4C71"/>
    <w:rsid w:val="6CB83DF3"/>
    <w:rsid w:val="6CDE58B7"/>
    <w:rsid w:val="6E3608D4"/>
    <w:rsid w:val="6E4B74FF"/>
    <w:rsid w:val="6ED53B20"/>
    <w:rsid w:val="6EE617F4"/>
    <w:rsid w:val="6EFD4D32"/>
    <w:rsid w:val="6FC921D5"/>
    <w:rsid w:val="70C13DE7"/>
    <w:rsid w:val="70CA7EC4"/>
    <w:rsid w:val="732B2316"/>
    <w:rsid w:val="7391592D"/>
    <w:rsid w:val="758C21C9"/>
    <w:rsid w:val="75E97CB0"/>
    <w:rsid w:val="768A76AB"/>
    <w:rsid w:val="76D33101"/>
    <w:rsid w:val="77611D86"/>
    <w:rsid w:val="77D01711"/>
    <w:rsid w:val="781B4B32"/>
    <w:rsid w:val="784B575F"/>
    <w:rsid w:val="786B2E6A"/>
    <w:rsid w:val="78B60DB4"/>
    <w:rsid w:val="78E842C8"/>
    <w:rsid w:val="7944465F"/>
    <w:rsid w:val="79467BA2"/>
    <w:rsid w:val="798B4578"/>
    <w:rsid w:val="79A254D0"/>
    <w:rsid w:val="79D25299"/>
    <w:rsid w:val="79E13836"/>
    <w:rsid w:val="7ABB3FBC"/>
    <w:rsid w:val="7C547009"/>
    <w:rsid w:val="7C695E0F"/>
    <w:rsid w:val="7DDC1BFE"/>
    <w:rsid w:val="7EBC1C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textAlignment w:val="baseline"/>
    </w:pPr>
    <w:rPr>
      <w:rFonts w:asciiTheme="minorHAnsi" w:hAnsiTheme="minorHAnsi" w:eastAsiaTheme="minorEastAsia" w:cstheme="minorBidi"/>
      <w:color w:val="000000"/>
      <w:sz w:val="21"/>
      <w:szCs w:val="22"/>
      <w:u w:val="none" w:color="000000"/>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adjustRightInd w:val="0"/>
      <w:spacing w:line="240" w:lineRule="atLeast"/>
      <w:jc w:val="left"/>
    </w:pPr>
    <w:rPr>
      <w:color w:val="auto"/>
      <w:sz w:val="18"/>
      <w:u w:val="none" w:color="auto"/>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51"/>
    <w:basedOn w:val="4"/>
    <w:qFormat/>
    <w:uiPriority w:val="0"/>
    <w:rPr>
      <w:rFonts w:hint="default" w:ascii="font-weight : 400" w:hAnsi="font-weight : 400" w:eastAsia="font-weight : 400" w:cs="font-weight : 400"/>
      <w:color w:val="000000"/>
      <w:sz w:val="16"/>
      <w:szCs w:val="16"/>
      <w:u w:val="none"/>
    </w:rPr>
  </w:style>
  <w:style w:type="character" w:customStyle="1" w:styleId="9">
    <w:name w:val="font31"/>
    <w:basedOn w:val="4"/>
    <w:qFormat/>
    <w:uiPriority w:val="0"/>
    <w:rPr>
      <w:rFonts w:hint="eastAsia" w:ascii="宋体" w:hAnsi="宋体" w:eastAsia="宋体" w:cs="宋体"/>
      <w:color w:val="000000"/>
      <w:sz w:val="16"/>
      <w:szCs w:val="16"/>
      <w:u w:val="none"/>
    </w:rPr>
  </w:style>
  <w:style w:type="character" w:customStyle="1" w:styleId="10">
    <w:name w:val="font21"/>
    <w:basedOn w:val="4"/>
    <w:qFormat/>
    <w:uiPriority w:val="0"/>
    <w:rPr>
      <w:rFonts w:hint="default" w:ascii="serif" w:hAnsi="serif" w:eastAsia="serif" w:cs="serif"/>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1508</Words>
  <Characters>1751</Characters>
  <Lines>0</Lines>
  <Paragraphs>0</Paragraphs>
  <ScaleCrop>false</ScaleCrop>
  <LinksUpToDate>false</LinksUpToDate>
  <CharactersWithSpaces>1849</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2020-06-30T02:29:43Z</cp:lastPrinted>
  <dcterms:modified xsi:type="dcterms:W3CDTF">2020-06-30T02:30:26Z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